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C274" w14:textId="793F11D9" w:rsidR="00DF662A" w:rsidRPr="00F80EEE" w:rsidRDefault="00F80EEE" w:rsidP="00F80EEE">
      <w:pPr>
        <w:jc w:val="center"/>
        <w:rPr>
          <w:rFonts w:ascii="Arial" w:hAnsi="Arial" w:cs="Arial"/>
          <w:b/>
          <w:bCs/>
        </w:rPr>
      </w:pPr>
      <w:r w:rsidRPr="00F80EEE">
        <w:rPr>
          <w:rFonts w:ascii="Arial" w:hAnsi="Arial" w:cs="Arial"/>
          <w:b/>
          <w:bCs/>
          <w:sz w:val="48"/>
        </w:rPr>
        <w:t>Dentons Pro Bono Mapping</w:t>
      </w:r>
    </w:p>
    <w:p w14:paraId="5CC083B2" w14:textId="77777777" w:rsidR="00BC5E9F" w:rsidRDefault="00F80EEE" w:rsidP="00BC5E9F">
      <w:pPr>
        <w:jc w:val="center"/>
      </w:pPr>
      <w:r>
        <w:rPr>
          <w:sz w:val="28"/>
        </w:rPr>
        <w:t>Using the CHANGE Framework</w:t>
      </w:r>
    </w:p>
    <w:p w14:paraId="693429CA" w14:textId="77777777" w:rsidR="00BC5E9F" w:rsidRDefault="00BC5E9F" w:rsidP="00BC5E9F">
      <w:pPr>
        <w:jc w:val="center"/>
      </w:pPr>
    </w:p>
    <w:p w14:paraId="397B9643" w14:textId="0D8CAF77" w:rsidR="00F80EEE" w:rsidRPr="00BC5E9F" w:rsidRDefault="00F80EEE" w:rsidP="00BC5E9F">
      <w:r w:rsidRPr="00F80EEE">
        <w:rPr>
          <w:rFonts w:ascii="Arial" w:hAnsi="Arial" w:cs="Arial"/>
          <w:b/>
          <w:bCs/>
          <w:sz w:val="28"/>
          <w:szCs w:val="28"/>
        </w:rPr>
        <w:t>Executive Summary</w:t>
      </w:r>
    </w:p>
    <w:p w14:paraId="55405E48" w14:textId="77777777" w:rsidR="00F80EEE" w:rsidRDefault="00F80EEE" w:rsidP="00F80EEE">
      <w:r>
        <w:t xml:space="preserve">[Insert </w:t>
      </w:r>
      <w:proofErr w:type="gramStart"/>
      <w:r>
        <w:t>a brief summary</w:t>
      </w:r>
      <w:proofErr w:type="gramEnd"/>
      <w:r>
        <w:t xml:space="preserve"> highlighting the purpose, structure, and key themes of the mapping project. You may include high-level insights or framing context for the reader.]</w:t>
      </w:r>
    </w:p>
    <w:p w14:paraId="2BE63492" w14:textId="7FC2DCF5" w:rsidR="00F80EEE" w:rsidRDefault="00BC5E9F">
      <w:r>
        <w:rPr>
          <w:noProof/>
        </w:rPr>
        <w:drawing>
          <wp:inline distT="0" distB="0" distL="0" distR="0" wp14:anchorId="71A3A141" wp14:editId="0E2B38B6">
            <wp:extent cx="4596765" cy="1694815"/>
            <wp:effectExtent l="0" t="0" r="0" b="635"/>
            <wp:docPr id="563501061" name="Picture 1" descr="A screen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01061" name="Picture 1" descr="A screenshot of a diagram&#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6765" cy="1694815"/>
                    </a:xfrm>
                    <a:prstGeom prst="rect">
                      <a:avLst/>
                    </a:prstGeom>
                    <a:noFill/>
                  </pic:spPr>
                </pic:pic>
              </a:graphicData>
            </a:graphic>
          </wp:inline>
        </w:drawing>
      </w:r>
    </w:p>
    <w:p w14:paraId="457BBAC4" w14:textId="216DD71C" w:rsidR="00DF662A" w:rsidRDefault="00280C3C">
      <w:r>
        <w:br w:type="page"/>
      </w:r>
    </w:p>
    <w:p w14:paraId="36B8BCBB" w14:textId="77777777" w:rsidR="00DF662A" w:rsidRPr="00793EDB" w:rsidRDefault="00280C3C">
      <w:pPr>
        <w:pStyle w:val="Heading1"/>
        <w:rPr>
          <w:rFonts w:ascii="Arial" w:hAnsi="Arial" w:cs="Arial"/>
          <w:color w:val="E4002B"/>
        </w:rPr>
      </w:pPr>
      <w:r w:rsidRPr="00793EDB">
        <w:rPr>
          <w:rFonts w:ascii="Arial" w:hAnsi="Arial" w:cs="Arial"/>
          <w:color w:val="E4002B"/>
        </w:rPr>
        <w:lastRenderedPageBreak/>
        <w:t>Children &amp; Youth</w:t>
      </w:r>
    </w:p>
    <w:p w14:paraId="682D2F5E" w14:textId="77777777" w:rsidR="00DF662A" w:rsidRDefault="00280C3C">
      <w:r>
        <w:t>We help young people thrive.</w:t>
      </w:r>
    </w:p>
    <w:p w14:paraId="287F1665" w14:textId="27E4EFCE" w:rsidR="00DF662A" w:rsidRPr="00BF0974" w:rsidRDefault="009A4267">
      <w:pPr>
        <w:pStyle w:val="Heading2"/>
        <w:rPr>
          <w:rFonts w:asciiTheme="minorHAnsi" w:hAnsiTheme="minorHAnsi" w:cs="Arial"/>
        </w:rPr>
      </w:pPr>
      <w:commentRangeStart w:id="0"/>
      <w:r>
        <w:rPr>
          <w:rFonts w:asciiTheme="minorHAnsi" w:hAnsiTheme="minorHAnsi" w:cs="Arial"/>
        </w:rPr>
        <w:t>Legacy Charter School &amp; the New Markets Tax Credit (NMTC) (Chicago, Illinois)</w:t>
      </w:r>
      <w:commentRangeEnd w:id="0"/>
      <w:r w:rsidR="004E1581">
        <w:rPr>
          <w:rStyle w:val="CommentReference"/>
          <w:rFonts w:asciiTheme="minorHAnsi" w:eastAsiaTheme="minorEastAsia" w:hAnsiTheme="minorHAnsi" w:cstheme="minorBidi"/>
          <w:b w:val="0"/>
          <w:bCs w:val="0"/>
          <w:color w:val="auto"/>
        </w:rPr>
        <w:commentReference w:id="0"/>
      </w:r>
    </w:p>
    <w:p w14:paraId="2E8AF417" w14:textId="5855204C" w:rsidR="00DF662A" w:rsidRDefault="009A4267">
      <w:r>
        <w:t xml:space="preserve">Founded by Dentons’ legacy law firm, the Legacy Charter School is the first charter school ever established and funded by a law firm. Dentons continues to share close ties with Legacy and to support its mission as an outstanding center for teaching and learning on Chicago’s underserved West Side. One example of continued involvement </w:t>
      </w:r>
      <w:r w:rsidR="004E6022">
        <w:t>is</w:t>
      </w:r>
      <w:r>
        <w:t xml:space="preserve"> the construction of a technology-equipped and </w:t>
      </w:r>
      <w:proofErr w:type="gramStart"/>
      <w:r>
        <w:t>environmentally-conscious</w:t>
      </w:r>
      <w:proofErr w:type="gramEnd"/>
      <w:r>
        <w:t xml:space="preserve"> building serving more than 460 children </w:t>
      </w:r>
      <w:r w:rsidR="004E6022">
        <w:t xml:space="preserve">from </w:t>
      </w:r>
      <w:r>
        <w:t>pre-kindergarten to the eight</w:t>
      </w:r>
      <w:r w:rsidR="00F547F4">
        <w:t>h</w:t>
      </w:r>
      <w:r>
        <w:t xml:space="preserve"> grade. Dentons’ Real Estate team worked with NMTC to provide tax relief for investor</w:t>
      </w:r>
      <w:r w:rsidR="004E1581">
        <w:t>s</w:t>
      </w:r>
      <w:r>
        <w:t xml:space="preserve"> in exchange for investments </w:t>
      </w:r>
      <w:r w:rsidR="004E6022">
        <w:t>in</w:t>
      </w:r>
      <w:r>
        <w:t xml:space="preserve"> low-income communities. As a result, Legacy Charter School also received a net benefit of nearly $7 million.  </w:t>
      </w:r>
    </w:p>
    <w:p w14:paraId="23C2D034" w14:textId="77777777" w:rsidR="00DF662A" w:rsidRDefault="00280C3C">
      <w:r>
        <w:t>________________________________________________________________________________</w:t>
      </w:r>
    </w:p>
    <w:p w14:paraId="03BA1710" w14:textId="54C4EFBB" w:rsidR="00DF662A" w:rsidRDefault="00280C3C">
      <w:r>
        <w:t xml:space="preserve">→ </w:t>
      </w:r>
      <w:r w:rsidR="009A4267">
        <w:t xml:space="preserve">Why It Fits: Dentons directly sponsors and maintains an educational institution where young students can learn, grow, and overall flourish. </w:t>
      </w:r>
    </w:p>
    <w:p w14:paraId="51129634" w14:textId="58F403C8" w:rsidR="00F547F4" w:rsidRPr="00A673F6" w:rsidRDefault="00A673F6" w:rsidP="00F547F4">
      <w:pPr>
        <w:pStyle w:val="Heading2"/>
        <w:rPr>
          <w:rFonts w:asciiTheme="minorHAnsi" w:hAnsiTheme="minorHAnsi" w:cs="Arial"/>
        </w:rPr>
      </w:pPr>
      <w:commentRangeStart w:id="1"/>
      <w:r w:rsidRPr="00A673F6">
        <w:rPr>
          <w:rFonts w:asciiTheme="minorHAnsi" w:hAnsiTheme="minorHAnsi" w:cs="Arial"/>
        </w:rPr>
        <w:t>Pro Bono Day w</w:t>
      </w:r>
      <w:r>
        <w:rPr>
          <w:rFonts w:asciiTheme="minorHAnsi" w:hAnsiTheme="minorHAnsi" w:cs="Arial"/>
        </w:rPr>
        <w:t>ith PayPal &amp; ECPAT International (International)</w:t>
      </w:r>
      <w:commentRangeEnd w:id="1"/>
      <w:r>
        <w:rPr>
          <w:rStyle w:val="CommentReference"/>
          <w:rFonts w:asciiTheme="minorHAnsi" w:eastAsiaTheme="minorEastAsia" w:hAnsiTheme="minorHAnsi" w:cstheme="minorBidi"/>
          <w:b w:val="0"/>
          <w:bCs w:val="0"/>
          <w:color w:val="auto"/>
        </w:rPr>
        <w:commentReference w:id="1"/>
      </w:r>
    </w:p>
    <w:p w14:paraId="51192D63" w14:textId="0B53A49F" w:rsidR="00F547F4" w:rsidRPr="00A673F6" w:rsidRDefault="00A673F6" w:rsidP="00BF10B7">
      <w:r w:rsidRPr="00A673F6">
        <w:t>Dentons and PayPal’s in-h</w:t>
      </w:r>
      <w:r>
        <w:t>ouse legal team joined forces to conduct a series of research sessions to assist ECPAT International</w:t>
      </w:r>
      <w:r w:rsidR="004E6022">
        <w:t>,</w:t>
      </w:r>
      <w:r>
        <w:t xml:space="preserve"> a Bangkok-resident nongovernmental organization (NGO) that operates to protect children from sexual exploitation. The research sought to answer the three questions for ECPAT:</w:t>
      </w:r>
      <w:r w:rsidR="00BF10B7">
        <w:t xml:space="preserve"> (1) What is the age of sexual consent under the jurisdiction being researched? (2) Do the provisions on the age of sexual consent equally apply to girls and boys? (3) Does the national legislation explicitly indicate the age of consent is 18 for both males and females, or does it fail to do so, or only partially do so? In the span of a day, the listed questions had been answered for a</w:t>
      </w:r>
      <w:r w:rsidR="004E6022">
        <w:t>lmost</w:t>
      </w:r>
      <w:r w:rsidR="00BF10B7">
        <w:t xml:space="preserve"> all countries worldwide. </w:t>
      </w:r>
    </w:p>
    <w:p w14:paraId="4DEF1731" w14:textId="77777777" w:rsidR="00F547F4" w:rsidRPr="00A673F6" w:rsidRDefault="00F547F4" w:rsidP="00F547F4">
      <w:r w:rsidRPr="00A673F6">
        <w:t>________________________________________________________________________________</w:t>
      </w:r>
    </w:p>
    <w:p w14:paraId="68597FAD" w14:textId="22DF31A5" w:rsidR="00F547F4" w:rsidRDefault="00F547F4" w:rsidP="00F547F4">
      <w:r>
        <w:t xml:space="preserve">→ Why It Fits: </w:t>
      </w:r>
      <w:r w:rsidR="00BF10B7">
        <w:t xml:space="preserve">With the joint research effort </w:t>
      </w:r>
      <w:r w:rsidR="00C877CB">
        <w:t>between</w:t>
      </w:r>
      <w:r w:rsidR="00BF10B7">
        <w:t xml:space="preserve"> Dentons and PayPal, ECPAT International now has access to pivotal resources that </w:t>
      </w:r>
      <w:r w:rsidR="00F3717B">
        <w:t>can help develop protective measures against sexual exploitation amongst minors. These developments lay a secure groundwork for children to prosper</w:t>
      </w:r>
      <w:r w:rsidR="005C6830">
        <w:t xml:space="preserve"> without harm</w:t>
      </w:r>
      <w:r w:rsidR="00F3717B">
        <w:t xml:space="preserve">. </w:t>
      </w:r>
    </w:p>
    <w:p w14:paraId="5EB3D4CA" w14:textId="3982B049" w:rsidR="00F3717B" w:rsidRPr="00A673F6" w:rsidRDefault="00F3717B" w:rsidP="00F3717B">
      <w:pPr>
        <w:pStyle w:val="Heading2"/>
        <w:rPr>
          <w:rFonts w:asciiTheme="minorHAnsi" w:hAnsiTheme="minorHAnsi" w:cs="Arial"/>
        </w:rPr>
      </w:pPr>
      <w:commentRangeStart w:id="2"/>
      <w:r>
        <w:rPr>
          <w:rFonts w:asciiTheme="minorHAnsi" w:hAnsiTheme="minorHAnsi" w:cs="Arial"/>
        </w:rPr>
        <w:t>Seeds of Fortune</w:t>
      </w:r>
      <w:r w:rsidR="005C6830">
        <w:rPr>
          <w:rFonts w:asciiTheme="minorHAnsi" w:hAnsiTheme="minorHAnsi" w:cs="Arial"/>
        </w:rPr>
        <w:t xml:space="preserve"> (SOF)</w:t>
      </w:r>
      <w:r w:rsidR="00C27878">
        <w:rPr>
          <w:rFonts w:asciiTheme="minorHAnsi" w:hAnsiTheme="minorHAnsi" w:cs="Arial"/>
        </w:rPr>
        <w:t xml:space="preserve"> (National)</w:t>
      </w:r>
      <w:commentRangeEnd w:id="2"/>
      <w:r w:rsidR="0039285E">
        <w:rPr>
          <w:rStyle w:val="CommentReference"/>
          <w:rFonts w:asciiTheme="minorHAnsi" w:eastAsiaTheme="minorEastAsia" w:hAnsiTheme="minorHAnsi" w:cstheme="minorBidi"/>
          <w:b w:val="0"/>
          <w:bCs w:val="0"/>
          <w:color w:val="auto"/>
        </w:rPr>
        <w:commentReference w:id="2"/>
      </w:r>
    </w:p>
    <w:p w14:paraId="33F725B2" w14:textId="1B09C54B" w:rsidR="00F3717B" w:rsidRPr="00A673F6" w:rsidRDefault="00C27878" w:rsidP="00F3717B">
      <w:r>
        <w:t>Seeds o</w:t>
      </w:r>
      <w:r w:rsidR="00A66713">
        <w:t xml:space="preserve">f Fortune is a nonprofit organization (NGO) that empowers young women from underrepresented backgrounds through corporate programs, </w:t>
      </w:r>
      <w:r w:rsidR="005C6830">
        <w:t xml:space="preserve">higher education </w:t>
      </w:r>
      <w:r w:rsidR="00A66713">
        <w:t>guidance</w:t>
      </w:r>
      <w:r w:rsidR="005C6830">
        <w:t xml:space="preserve">, career skills development, and financial management. Dentons is a supporter of Seeds of Fortune and its mission by participating under the Innovation Research </w:t>
      </w:r>
      <w:proofErr w:type="gramStart"/>
      <w:r w:rsidR="005C6830">
        <w:t>program ,</w:t>
      </w:r>
      <w:proofErr w:type="gramEnd"/>
      <w:r w:rsidR="005C6830">
        <w:t xml:space="preserve"> which pairs scholars with corporations to unlock exposure to the workforce and executive </w:t>
      </w:r>
      <w:r w:rsidR="005C6830">
        <w:lastRenderedPageBreak/>
        <w:t xml:space="preserve">standpoints. Scholars are presented to a business-based problem, and with guidance from Dentons volunteers, they must develop a solution. </w:t>
      </w:r>
    </w:p>
    <w:p w14:paraId="2B6DEF1D" w14:textId="77777777" w:rsidR="00F3717B" w:rsidRPr="00A673F6" w:rsidRDefault="00F3717B" w:rsidP="00F3717B">
      <w:r w:rsidRPr="00A673F6">
        <w:t>________________________________________________________________________________</w:t>
      </w:r>
    </w:p>
    <w:p w14:paraId="337AF005" w14:textId="019ACAC5" w:rsidR="00F3717B" w:rsidRDefault="00F3717B" w:rsidP="00F3717B">
      <w:r>
        <w:t xml:space="preserve">→ Why It Fits: </w:t>
      </w:r>
      <w:r w:rsidR="00920671">
        <w:t xml:space="preserve">Young women from underrepresented backgrounds tend to face barriers when accessing higher education and professional development. Dentons volunteers are advocating for their advancement by providing direct insights to </w:t>
      </w:r>
      <w:r w:rsidR="0039285E">
        <w:t xml:space="preserve">corporate responsibilities, operations, and perspectives that inspire the youth. </w:t>
      </w:r>
    </w:p>
    <w:p w14:paraId="142C5ED7" w14:textId="3FC57A8A" w:rsidR="000D6B3D" w:rsidRPr="00A673F6" w:rsidRDefault="000D6B3D" w:rsidP="000D6B3D">
      <w:pPr>
        <w:pStyle w:val="Heading2"/>
        <w:rPr>
          <w:rFonts w:asciiTheme="minorHAnsi" w:hAnsiTheme="minorHAnsi" w:cs="Arial"/>
        </w:rPr>
      </w:pPr>
      <w:commentRangeStart w:id="3"/>
      <w:r>
        <w:rPr>
          <w:rFonts w:asciiTheme="minorHAnsi" w:hAnsiTheme="minorHAnsi" w:cs="Arial"/>
        </w:rPr>
        <w:t>Right to Play’s Indigenous Programs (Canada)</w:t>
      </w:r>
      <w:commentRangeEnd w:id="3"/>
      <w:r w:rsidR="0055143E">
        <w:rPr>
          <w:rStyle w:val="CommentReference"/>
          <w:rFonts w:asciiTheme="minorHAnsi" w:eastAsiaTheme="minorEastAsia" w:hAnsiTheme="minorHAnsi" w:cstheme="minorBidi"/>
          <w:b w:val="0"/>
          <w:bCs w:val="0"/>
          <w:color w:val="auto"/>
        </w:rPr>
        <w:commentReference w:id="3"/>
      </w:r>
    </w:p>
    <w:p w14:paraId="053F1C13" w14:textId="0E4E5805" w:rsidR="000D6B3D" w:rsidRPr="00A673F6" w:rsidRDefault="000D6B3D" w:rsidP="000D6B3D">
      <w:r>
        <w:t xml:space="preserve">For more than 10 years, Right to Play has partnered with more than 75 indigenous communities and organizations across Canada to improve access to community-led, culturally relevant play-based programs. For the past three years, Dentons Canada </w:t>
      </w:r>
      <w:r w:rsidR="0055143E">
        <w:t xml:space="preserve">has been a valued partner in the delivery of Indigenous Programs. </w:t>
      </w:r>
    </w:p>
    <w:p w14:paraId="6124C0B2" w14:textId="77777777" w:rsidR="000D6B3D" w:rsidRPr="00A673F6" w:rsidRDefault="000D6B3D" w:rsidP="000D6B3D">
      <w:r w:rsidRPr="00A673F6">
        <w:t>________________________________________________________________________________</w:t>
      </w:r>
    </w:p>
    <w:p w14:paraId="61D3C4A8" w14:textId="7CB9DE87" w:rsidR="000D6B3D" w:rsidRDefault="000D6B3D" w:rsidP="00F3717B">
      <w:r>
        <w:t xml:space="preserve">→ Why It Fits: </w:t>
      </w:r>
      <w:r w:rsidR="0055143E">
        <w:t xml:space="preserve">Dentons utilizes </w:t>
      </w:r>
      <w:r w:rsidR="004E6022">
        <w:t>its</w:t>
      </w:r>
      <w:r w:rsidR="0055143E">
        <w:t xml:space="preserve"> platform to invest in vulnerable children’s protection, education, and empowerment. Through this programming, Indigenous children and youth are building essential life and leadership skills to surpass barriers. </w:t>
      </w:r>
    </w:p>
    <w:p w14:paraId="1A7AAFB8" w14:textId="27D2C95F" w:rsidR="00C82F56" w:rsidRPr="00A673F6" w:rsidRDefault="00A10349" w:rsidP="00C82F56">
      <w:pPr>
        <w:pStyle w:val="Heading2"/>
        <w:rPr>
          <w:rFonts w:asciiTheme="minorHAnsi" w:hAnsiTheme="minorHAnsi" w:cs="Arial"/>
        </w:rPr>
      </w:pPr>
      <w:commentRangeStart w:id="4"/>
      <w:r>
        <w:rPr>
          <w:rFonts w:asciiTheme="minorHAnsi" w:hAnsiTheme="minorHAnsi" w:cs="Arial"/>
        </w:rPr>
        <w:t>Law in Action Within Schools (LAWS)</w:t>
      </w:r>
      <w:r w:rsidR="008F22DD">
        <w:rPr>
          <w:rFonts w:asciiTheme="minorHAnsi" w:hAnsiTheme="minorHAnsi" w:cs="Arial"/>
        </w:rPr>
        <w:t xml:space="preserve"> </w:t>
      </w:r>
      <w:r>
        <w:rPr>
          <w:rFonts w:asciiTheme="minorHAnsi" w:hAnsiTheme="minorHAnsi" w:cs="Arial"/>
        </w:rPr>
        <w:t>Summer Program (Toronto, Canada)</w:t>
      </w:r>
      <w:commentRangeEnd w:id="4"/>
      <w:r w:rsidR="00D47979">
        <w:rPr>
          <w:rStyle w:val="CommentReference"/>
          <w:rFonts w:asciiTheme="minorHAnsi" w:eastAsiaTheme="minorEastAsia" w:hAnsiTheme="minorHAnsi" w:cstheme="minorBidi"/>
          <w:b w:val="0"/>
          <w:bCs w:val="0"/>
          <w:color w:val="auto"/>
        </w:rPr>
        <w:commentReference w:id="4"/>
      </w:r>
    </w:p>
    <w:p w14:paraId="6FB3EDB3" w14:textId="013152C6" w:rsidR="00C82F56" w:rsidRPr="00A673F6" w:rsidRDefault="00A10349" w:rsidP="00C82F56">
      <w:r>
        <w:t>LAW is Canada’s leading law school youth outreach pr</w:t>
      </w:r>
      <w:r w:rsidR="00171FF3">
        <w:t>ogram that connects high school students, educators, law students</w:t>
      </w:r>
      <w:r w:rsidR="004E6022">
        <w:t>,</w:t>
      </w:r>
      <w:r w:rsidR="00171FF3">
        <w:t xml:space="preserve"> and legal sector professionals to enrich </w:t>
      </w:r>
      <w:r w:rsidR="004E6022">
        <w:t xml:space="preserve">the </w:t>
      </w:r>
      <w:r w:rsidR="00171FF3">
        <w:t xml:space="preserve">learning of law and social justice issues. Each year, Dentons’ Toronto office hires a </w:t>
      </w:r>
      <w:r w:rsidR="00171FF3" w:rsidRPr="00171FF3">
        <w:t>summer student from the LAWS program to complete a summer rotation within Business Services.</w:t>
      </w:r>
    </w:p>
    <w:p w14:paraId="64B2CD48" w14:textId="77777777" w:rsidR="00C82F56" w:rsidRPr="00A673F6" w:rsidRDefault="00C82F56" w:rsidP="00C82F56">
      <w:r w:rsidRPr="00A673F6">
        <w:t>________________________________________________________________________________</w:t>
      </w:r>
    </w:p>
    <w:p w14:paraId="3A7A3AAB" w14:textId="29191A24" w:rsidR="00C82F56" w:rsidRDefault="00C82F56" w:rsidP="00C82F56">
      <w:r>
        <w:t xml:space="preserve">→ Why It Fits: </w:t>
      </w:r>
      <w:r w:rsidR="00171FF3">
        <w:t xml:space="preserve">Dentons provides a platform for program participants, high-school students facing personal or systemic barriers to success, to </w:t>
      </w:r>
      <w:r w:rsidR="002D227A">
        <w:t xml:space="preserve">grow </w:t>
      </w:r>
      <w:r w:rsidR="00D47979">
        <w:t>as learners and leaders. Participants are enlightened on a profession, and with this enlightenment comes knowledge, self-advocacy, civic engagement, and a sense of belonging.</w:t>
      </w:r>
    </w:p>
    <w:p w14:paraId="18554D98" w14:textId="440AABA4" w:rsidR="00A37282" w:rsidRPr="00A673F6" w:rsidRDefault="00A37282" w:rsidP="00A37282">
      <w:pPr>
        <w:pStyle w:val="Heading2"/>
        <w:rPr>
          <w:rFonts w:asciiTheme="minorHAnsi" w:hAnsiTheme="minorHAnsi" w:cs="Arial"/>
        </w:rPr>
      </w:pPr>
      <w:commentRangeStart w:id="5"/>
      <w:r>
        <w:rPr>
          <w:rFonts w:asciiTheme="minorHAnsi" w:hAnsiTheme="minorHAnsi" w:cs="Arial"/>
        </w:rPr>
        <w:t>Social Mobility Business Partnership (SMBP) (London, United Kingdom)</w:t>
      </w:r>
      <w:commentRangeEnd w:id="5"/>
      <w:r w:rsidR="0024260A">
        <w:rPr>
          <w:rStyle w:val="CommentReference"/>
          <w:rFonts w:asciiTheme="minorHAnsi" w:eastAsiaTheme="minorEastAsia" w:hAnsiTheme="minorHAnsi" w:cstheme="minorBidi"/>
          <w:b w:val="0"/>
          <w:bCs w:val="0"/>
          <w:color w:val="auto"/>
        </w:rPr>
        <w:commentReference w:id="5"/>
      </w:r>
    </w:p>
    <w:p w14:paraId="1B8E7AA1" w14:textId="43F3CAF9" w:rsidR="00A37282" w:rsidRPr="00A673F6" w:rsidRDefault="00A37282" w:rsidP="00A37282">
      <w:r>
        <w:t xml:space="preserve">As a volunteer-led charity, SMBP </w:t>
      </w:r>
      <w:r w:rsidR="002D16D0" w:rsidRPr="002D16D0">
        <w:t>is a collaboration of over 200 commercial organizations</w:t>
      </w:r>
      <w:r w:rsidR="002D16D0">
        <w:t xml:space="preserve"> and </w:t>
      </w:r>
      <w:r w:rsidR="002D16D0" w:rsidRPr="002D16D0">
        <w:t>professional services firms</w:t>
      </w:r>
      <w:r w:rsidR="002D16D0">
        <w:t xml:space="preserve"> </w:t>
      </w:r>
      <w:r w:rsidR="002D16D0" w:rsidRPr="002D16D0">
        <w:t>committed to supporting</w:t>
      </w:r>
      <w:r w:rsidR="002D16D0">
        <w:t xml:space="preserve"> low-income</w:t>
      </w:r>
      <w:r w:rsidR="002D16D0" w:rsidRPr="002D16D0">
        <w:t xml:space="preserve"> students in their pursuit of </w:t>
      </w:r>
      <w:r w:rsidR="002D16D0">
        <w:t>careers</w:t>
      </w:r>
      <w:r w:rsidR="002D16D0" w:rsidRPr="002D16D0">
        <w:t>.</w:t>
      </w:r>
      <w:r w:rsidR="002D16D0">
        <w:t xml:space="preserve"> </w:t>
      </w:r>
      <w:r w:rsidR="002D16D0" w:rsidRPr="002D16D0">
        <w:t>In partnership with clients including Warner Music Group, TUI, HMG Department for Levelling Up, Housing and Communities, and Lloyds Banking Group,</w:t>
      </w:r>
      <w:r w:rsidR="002D16D0">
        <w:t xml:space="preserve"> Dentons UK </w:t>
      </w:r>
      <w:r w:rsidR="002D16D0" w:rsidRPr="002D16D0">
        <w:t>coordinat</w:t>
      </w:r>
      <w:r w:rsidR="002D16D0">
        <w:t xml:space="preserve">es </w:t>
      </w:r>
      <w:r w:rsidR="002D16D0" w:rsidRPr="002D16D0">
        <w:t>and participat</w:t>
      </w:r>
      <w:r w:rsidR="002D16D0">
        <w:t xml:space="preserve">es </w:t>
      </w:r>
      <w:r w:rsidR="002D16D0" w:rsidRPr="002D16D0">
        <w:t>in a</w:t>
      </w:r>
      <w:r w:rsidR="002D16D0">
        <w:t>n SMBP</w:t>
      </w:r>
      <w:r w:rsidR="002D16D0" w:rsidRPr="002D16D0">
        <w:t xml:space="preserve"> program</w:t>
      </w:r>
      <w:r w:rsidR="002D16D0">
        <w:t xml:space="preserve">. </w:t>
      </w:r>
      <w:r w:rsidR="002D16D0" w:rsidRPr="002D16D0">
        <w:t xml:space="preserve">Through team-building exercises, Q&amp;A sessions, and exclusive tours, </w:t>
      </w:r>
      <w:r w:rsidR="002D16D0">
        <w:t>their</w:t>
      </w:r>
      <w:r w:rsidR="002D16D0" w:rsidRPr="002D16D0">
        <w:t xml:space="preserve"> cohort of 18 students gained insights</w:t>
      </w:r>
      <w:r w:rsidR="002D16D0">
        <w:t xml:space="preserve"> </w:t>
      </w:r>
      <w:r w:rsidR="004E6022">
        <w:t>into</w:t>
      </w:r>
      <w:r w:rsidR="002D16D0">
        <w:t xml:space="preserve"> </w:t>
      </w:r>
      <w:r w:rsidR="002D16D0" w:rsidRPr="002D16D0">
        <w:t xml:space="preserve">career opportunities and how to stand out </w:t>
      </w:r>
      <w:r w:rsidR="004E6022">
        <w:t>in</w:t>
      </w:r>
      <w:r w:rsidR="0024260A">
        <w:t xml:space="preserve"> the</w:t>
      </w:r>
      <w:r w:rsidR="002D16D0" w:rsidRPr="002D16D0">
        <w:t xml:space="preserve"> professional services sector.</w:t>
      </w:r>
    </w:p>
    <w:p w14:paraId="44032960" w14:textId="77777777" w:rsidR="00A37282" w:rsidRPr="00A673F6" w:rsidRDefault="00A37282" w:rsidP="00A37282">
      <w:r w:rsidRPr="00A673F6">
        <w:t>________________________________________________________________________________</w:t>
      </w:r>
    </w:p>
    <w:p w14:paraId="48571085" w14:textId="4469787C" w:rsidR="00A37282" w:rsidRDefault="00A37282" w:rsidP="00A37282">
      <w:r>
        <w:lastRenderedPageBreak/>
        <w:t xml:space="preserve">→ Why It Fits: </w:t>
      </w:r>
      <w:r w:rsidR="0024260A">
        <w:t xml:space="preserve">By sponsoring underprivileged and young students to </w:t>
      </w:r>
      <w:r w:rsidR="00B0468C">
        <w:t xml:space="preserve">attend the SMBP program, Dentons is widening perspectives on high education, career, professionalism. With these realizations, students are motivated to defy low-income setbacks. </w:t>
      </w:r>
      <w:r w:rsidR="00B0468C" w:rsidRPr="00B0468C">
        <w:t xml:space="preserve">90% </w:t>
      </w:r>
      <w:r w:rsidR="00B0468C">
        <w:t xml:space="preserve">of participants </w:t>
      </w:r>
      <w:r w:rsidR="00B0468C" w:rsidRPr="00B0468C">
        <w:t>said the experience would strengthen their applications to university</w:t>
      </w:r>
      <w:r w:rsidR="00B0468C">
        <w:t xml:space="preserve">, which is one example of barriers being defied. </w:t>
      </w:r>
    </w:p>
    <w:p w14:paraId="72F5FF5E" w14:textId="17140C1C" w:rsidR="00704A89" w:rsidRDefault="004835B8" w:rsidP="00704A89">
      <w:pPr>
        <w:pStyle w:val="Heading2"/>
        <w:rPr>
          <w:rFonts w:asciiTheme="minorHAnsi" w:hAnsiTheme="minorHAnsi" w:cs="Arial"/>
        </w:rPr>
      </w:pPr>
      <w:commentRangeStart w:id="6"/>
      <w:commentRangeStart w:id="7"/>
      <w:r>
        <w:rPr>
          <w:rFonts w:asciiTheme="minorHAnsi" w:hAnsiTheme="minorHAnsi" w:cs="Arial"/>
        </w:rPr>
        <w:t>The Ukrainian Artist Residency (Washington, District of Columbia)</w:t>
      </w:r>
      <w:commentRangeEnd w:id="6"/>
      <w:r>
        <w:rPr>
          <w:rStyle w:val="CommentReference"/>
          <w:rFonts w:asciiTheme="minorHAnsi" w:eastAsiaTheme="minorEastAsia" w:hAnsiTheme="minorHAnsi" w:cstheme="minorBidi"/>
          <w:b w:val="0"/>
          <w:bCs w:val="0"/>
          <w:color w:val="auto"/>
        </w:rPr>
        <w:commentReference w:id="6"/>
      </w:r>
      <w:commentRangeEnd w:id="7"/>
      <w:r>
        <w:rPr>
          <w:rStyle w:val="CommentReference"/>
          <w:rFonts w:asciiTheme="minorHAnsi" w:eastAsiaTheme="minorEastAsia" w:hAnsiTheme="minorHAnsi" w:cstheme="minorBidi"/>
          <w:b w:val="0"/>
          <w:bCs w:val="0"/>
          <w:color w:val="auto"/>
        </w:rPr>
        <w:commentReference w:id="7"/>
      </w:r>
    </w:p>
    <w:p w14:paraId="50E07A7C" w14:textId="0B35BFDC" w:rsidR="00704A89" w:rsidRPr="00704A89" w:rsidRDefault="00704A89" w:rsidP="00704A89">
      <w:r>
        <w:t xml:space="preserve">In support of the Ukrainian Artist Residency, an initiative designed to offer support and creative space during challenging periods, Dentons US drafted a petition </w:t>
      </w:r>
      <w:r w:rsidRPr="00704A89">
        <w:t>for P-3 nonimmigrant visas</w:t>
      </w:r>
      <w:r>
        <w:t xml:space="preserve">. A group of six young Ukrainian actors and </w:t>
      </w:r>
      <w:proofErr w:type="gramStart"/>
      <w:r>
        <w:t>artists  secured</w:t>
      </w:r>
      <w:proofErr w:type="gramEnd"/>
      <w:r>
        <w:t xml:space="preserve"> </w:t>
      </w:r>
      <w:r w:rsidRPr="00704A89">
        <w:t>approval from US Citizenship and Immigration Services</w:t>
      </w:r>
      <w:r>
        <w:t xml:space="preserve">. With government approval and Dentons’ administration, a concert was executed at </w:t>
      </w:r>
      <w:r w:rsidRPr="00704A89">
        <w:t>the John F. Kennedy Center for the Performing Arts in Washington, DC.</w:t>
      </w:r>
    </w:p>
    <w:p w14:paraId="4B4CC99A" w14:textId="77777777" w:rsidR="004835B8" w:rsidRPr="00A673F6" w:rsidRDefault="004835B8" w:rsidP="004835B8">
      <w:r w:rsidRPr="00A673F6">
        <w:t>________________________________________________________________________________</w:t>
      </w:r>
    </w:p>
    <w:p w14:paraId="5BDEEF69" w14:textId="3774A598" w:rsidR="004835B8" w:rsidRDefault="004835B8" w:rsidP="004835B8">
      <w:r>
        <w:t xml:space="preserve">→ Why It Fits: </w:t>
      </w:r>
      <w:r w:rsidR="006629F8">
        <w:t xml:space="preserve">The political climate in Ukraine has produce hardship for typical civilians such as young artists. Through Dentons’ sponsorship, a group of young artists were able to seek resettlement and freely continue their creative pursuits. </w:t>
      </w:r>
    </w:p>
    <w:p w14:paraId="15136ED2" w14:textId="77777777" w:rsidR="00DF662A" w:rsidRDefault="00DF662A"/>
    <w:p w14:paraId="258F35FF" w14:textId="77777777" w:rsidR="00DF662A" w:rsidRPr="00793EDB" w:rsidRDefault="00280C3C">
      <w:pPr>
        <w:pStyle w:val="Heading1"/>
        <w:rPr>
          <w:rFonts w:ascii="Arial" w:hAnsi="Arial" w:cs="Arial"/>
          <w:color w:val="ED3895"/>
        </w:rPr>
      </w:pPr>
      <w:r w:rsidRPr="00793EDB">
        <w:rPr>
          <w:rFonts w:ascii="Arial" w:hAnsi="Arial" w:cs="Arial"/>
          <w:color w:val="ED3895"/>
        </w:rPr>
        <w:t>Human Rights</w:t>
      </w:r>
    </w:p>
    <w:p w14:paraId="02174AF6" w14:textId="77777777" w:rsidR="00DF662A" w:rsidRDefault="00280C3C">
      <w:r>
        <w:t>We advance human rights and support marginalized people and communities.</w:t>
      </w:r>
    </w:p>
    <w:p w14:paraId="52A3723E" w14:textId="77777777" w:rsidR="00DF662A" w:rsidRPr="00BF0974" w:rsidRDefault="00280C3C">
      <w:pPr>
        <w:pStyle w:val="Heading2"/>
        <w:rPr>
          <w:rFonts w:asciiTheme="minorHAnsi" w:hAnsiTheme="minorHAnsi" w:cs="Arial"/>
        </w:rPr>
      </w:pPr>
      <w:commentRangeStart w:id="8"/>
      <w:r w:rsidRPr="00BF0974">
        <w:rPr>
          <w:rFonts w:asciiTheme="minorHAnsi" w:hAnsiTheme="minorHAnsi" w:cs="Arial"/>
        </w:rPr>
        <w:t>Newkirk v. Pierre (Suffolk County, New York)</w:t>
      </w:r>
      <w:commentRangeEnd w:id="8"/>
      <w:r w:rsidR="005D188A">
        <w:rPr>
          <w:rStyle w:val="CommentReference"/>
          <w:rFonts w:asciiTheme="minorHAnsi" w:eastAsiaTheme="minorEastAsia" w:hAnsiTheme="minorHAnsi" w:cstheme="minorBidi"/>
          <w:b w:val="0"/>
          <w:bCs w:val="0"/>
          <w:color w:val="auto"/>
        </w:rPr>
        <w:commentReference w:id="8"/>
      </w:r>
    </w:p>
    <w:p w14:paraId="63629B2D" w14:textId="153E4065" w:rsidR="00DF662A" w:rsidRPr="005D188A" w:rsidRDefault="00280C3C">
      <w:pPr>
        <w:rPr>
          <w:rFonts w:ascii="Arial" w:hAnsi="Arial" w:cs="Arial"/>
        </w:rPr>
      </w:pPr>
      <w:r>
        <w:t xml:space="preserve">In collaboration with </w:t>
      </w:r>
      <w:r w:rsidR="005D188A">
        <w:t>the National Center of Law and Economic Justice (</w:t>
      </w:r>
      <w:r>
        <w:t>NCLEJ</w:t>
      </w:r>
      <w:r w:rsidR="005D188A">
        <w:t>)</w:t>
      </w:r>
      <w:r>
        <w:t>, Dentons supported a class action lawsuit to improve access to public benefits for people with disabilities.</w:t>
      </w:r>
      <w:r w:rsidR="005D188A">
        <w:t xml:space="preserve"> </w:t>
      </w:r>
      <w:r w:rsidR="005D188A">
        <w:rPr>
          <w:rFonts w:cs="Arial"/>
        </w:rPr>
        <w:t xml:space="preserve">The </w:t>
      </w:r>
      <w:r w:rsidR="005D188A" w:rsidRPr="005D188A">
        <w:rPr>
          <w:rFonts w:cs="Arial"/>
        </w:rPr>
        <w:t xml:space="preserve">lawsuit secured a settlement that requires the Suffolk County Department of Social Services to substantially update its policies to ensure that disabled county residents can receive </w:t>
      </w:r>
      <w:r w:rsidR="005D188A">
        <w:rPr>
          <w:rFonts w:cs="Arial"/>
        </w:rPr>
        <w:t>health care, housing, and economic security</w:t>
      </w:r>
      <w:r w:rsidR="005D188A" w:rsidRPr="005D188A">
        <w:rPr>
          <w:rFonts w:cs="Arial"/>
        </w:rPr>
        <w:t xml:space="preserve">. </w:t>
      </w:r>
    </w:p>
    <w:p w14:paraId="58E7F858" w14:textId="77777777" w:rsidR="00DF662A" w:rsidRDefault="00280C3C">
      <w:r>
        <w:t>________________________________________________________________________________</w:t>
      </w:r>
    </w:p>
    <w:p w14:paraId="562F307E" w14:textId="0781A3B9" w:rsidR="00DF662A" w:rsidRDefault="00280C3C">
      <w:r>
        <w:t xml:space="preserve">→ </w:t>
      </w:r>
      <w:r w:rsidR="009A4267">
        <w:t xml:space="preserve">Why It Fits: </w:t>
      </w:r>
      <w:r w:rsidR="005D188A" w:rsidRPr="005D188A">
        <w:t xml:space="preserve">Individuals with disabilities classify under a vulnerable group prone to marginalization. </w:t>
      </w:r>
      <w:r w:rsidR="005D188A">
        <w:t xml:space="preserve">It is their absolute entitlement to receive equitable government benefits like any other typical person. </w:t>
      </w:r>
    </w:p>
    <w:p w14:paraId="6B643A85" w14:textId="77777777" w:rsidR="00DF662A" w:rsidRPr="00BF0974" w:rsidRDefault="00280C3C">
      <w:pPr>
        <w:pStyle w:val="Heading2"/>
        <w:rPr>
          <w:rFonts w:asciiTheme="minorHAnsi" w:hAnsiTheme="minorHAnsi" w:cs="Arial"/>
        </w:rPr>
      </w:pPr>
      <w:commentRangeStart w:id="9"/>
      <w:r w:rsidRPr="00BF0974">
        <w:rPr>
          <w:rFonts w:asciiTheme="minorHAnsi" w:hAnsiTheme="minorHAnsi" w:cs="Arial"/>
        </w:rPr>
        <w:t>Students for Fair Admissions v. Harvard College &amp; UNC (National)</w:t>
      </w:r>
      <w:commentRangeEnd w:id="9"/>
      <w:r w:rsidR="005D188A">
        <w:rPr>
          <w:rStyle w:val="CommentReference"/>
          <w:rFonts w:asciiTheme="minorHAnsi" w:eastAsiaTheme="minorEastAsia" w:hAnsiTheme="minorHAnsi" w:cstheme="minorBidi"/>
          <w:b w:val="0"/>
          <w:bCs w:val="0"/>
          <w:color w:val="auto"/>
        </w:rPr>
        <w:commentReference w:id="9"/>
      </w:r>
    </w:p>
    <w:p w14:paraId="7F25FDF8" w14:textId="7F268A1A" w:rsidR="00DF662A" w:rsidRDefault="005D188A">
      <w:r w:rsidRPr="005D188A">
        <w:t>Supported by Dentons, the LFAA is an alliance of more than 300 large and small law firms aiming to pursue racial equity.</w:t>
      </w:r>
      <w:r>
        <w:t xml:space="preserve"> On behalf of the LFAA,</w:t>
      </w:r>
      <w:r w:rsidRPr="005D188A">
        <w:t xml:space="preserve"> </w:t>
      </w:r>
      <w:r w:rsidR="00280C3C">
        <w:t xml:space="preserve">Dentons </w:t>
      </w:r>
      <w:r>
        <w:t xml:space="preserve">submitted an </w:t>
      </w:r>
      <w:r w:rsidR="00280C3C">
        <w:t>amicus brief urging the Supreme Court to uphold race-conscious admissions in higher education.</w:t>
      </w:r>
    </w:p>
    <w:p w14:paraId="6F8D0475" w14:textId="77777777" w:rsidR="00DF662A" w:rsidRDefault="00280C3C">
      <w:r>
        <w:t>________________________________________________________________________________</w:t>
      </w:r>
    </w:p>
    <w:p w14:paraId="0FF0F5F7" w14:textId="7E7C1294" w:rsidR="00DF662A" w:rsidRDefault="00280C3C">
      <w:r>
        <w:lastRenderedPageBreak/>
        <w:t xml:space="preserve">→ </w:t>
      </w:r>
      <w:r w:rsidR="009A4267">
        <w:t xml:space="preserve">Why It Fits: </w:t>
      </w:r>
      <w:r w:rsidR="005D188A">
        <w:t>T</w:t>
      </w:r>
      <w:r w:rsidR="005D188A" w:rsidRPr="005D188A">
        <w:t>he elimination of race-conscious admissions simultaneously ignores the hardships correlated to being a racial minority</w:t>
      </w:r>
      <w:r w:rsidR="005D188A">
        <w:t>. Dentons’ a</w:t>
      </w:r>
      <w:r>
        <w:t>dvocated for educational equity for historically marginalized racial minorities.</w:t>
      </w:r>
    </w:p>
    <w:p w14:paraId="1301B9E4" w14:textId="6E47BB76" w:rsidR="00CD7C2D" w:rsidRPr="00BF0974" w:rsidRDefault="00A6099F" w:rsidP="00CD7C2D">
      <w:pPr>
        <w:pStyle w:val="Heading2"/>
        <w:rPr>
          <w:rFonts w:asciiTheme="minorHAnsi" w:hAnsiTheme="minorHAnsi" w:cs="Arial"/>
        </w:rPr>
      </w:pPr>
      <w:commentRangeStart w:id="10"/>
      <w:r w:rsidRPr="00A6099F">
        <w:rPr>
          <w:rFonts w:asciiTheme="minorHAnsi" w:hAnsiTheme="minorHAnsi" w:cs="Arial"/>
        </w:rPr>
        <w:t>30 Birds Foundation: Refugee resettlement in Canada of at-risk female Afghan scholars</w:t>
      </w:r>
      <w:r>
        <w:rPr>
          <w:rFonts w:asciiTheme="minorHAnsi" w:hAnsiTheme="minorHAnsi" w:cs="Arial"/>
        </w:rPr>
        <w:t xml:space="preserve"> (</w:t>
      </w:r>
      <w:r w:rsidRPr="00A6099F">
        <w:rPr>
          <w:rFonts w:asciiTheme="minorHAnsi" w:hAnsiTheme="minorHAnsi" w:cs="Arial"/>
        </w:rPr>
        <w:t>Saskatoon</w:t>
      </w:r>
      <w:r>
        <w:rPr>
          <w:rFonts w:asciiTheme="minorHAnsi" w:hAnsiTheme="minorHAnsi" w:cs="Arial"/>
        </w:rPr>
        <w:t>, Canada</w:t>
      </w:r>
      <w:commentRangeEnd w:id="10"/>
      <w:r w:rsidR="009F72C3">
        <w:rPr>
          <w:rStyle w:val="CommentReference"/>
          <w:rFonts w:asciiTheme="minorHAnsi" w:eastAsiaTheme="minorEastAsia" w:hAnsiTheme="minorHAnsi" w:cstheme="minorBidi"/>
          <w:b w:val="0"/>
          <w:bCs w:val="0"/>
          <w:color w:val="auto"/>
        </w:rPr>
        <w:commentReference w:id="10"/>
      </w:r>
      <w:r>
        <w:rPr>
          <w:rFonts w:asciiTheme="minorHAnsi" w:hAnsiTheme="minorHAnsi" w:cs="Arial"/>
        </w:rPr>
        <w:t xml:space="preserve">) </w:t>
      </w:r>
    </w:p>
    <w:p w14:paraId="44451135" w14:textId="4962D043" w:rsidR="00CD7C2D" w:rsidRDefault="00A6099F" w:rsidP="00CD7C2D">
      <w:r>
        <w:t xml:space="preserve">The 30 Birds Foundation strives to rebuild pathways for Afghan girls to learn, lead, and live freely. </w:t>
      </w:r>
      <w:r w:rsidR="00547962" w:rsidRPr="00547962">
        <w:t xml:space="preserve">Through dedicated efforts </w:t>
      </w:r>
      <w:r w:rsidR="00547962">
        <w:t>across Dentons’ Canada offices</w:t>
      </w:r>
      <w:r w:rsidR="00547962" w:rsidRPr="00547962">
        <w:t xml:space="preserve">, </w:t>
      </w:r>
      <w:r w:rsidR="00547962">
        <w:t xml:space="preserve">partners, counsel, associates, and students </w:t>
      </w:r>
      <w:r w:rsidR="00547962" w:rsidRPr="00547962">
        <w:t>provided vital legal assistance to over 200 at-risk young, female Afghan Hazara scholars and affiliated community members</w:t>
      </w:r>
      <w:r w:rsidR="00547962">
        <w:t>. When the Taliban took control over Afghanistan, t</w:t>
      </w:r>
      <w:r w:rsidR="00547962" w:rsidRPr="00547962">
        <w:t>hese individu</w:t>
      </w:r>
      <w:r w:rsidR="00547962">
        <w:t>als</w:t>
      </w:r>
      <w:r w:rsidR="00547962" w:rsidRPr="00547962">
        <w:t>, championing women’s rights and democratic values, faced grave danger</w:t>
      </w:r>
      <w:r w:rsidR="00547962">
        <w:t xml:space="preserve"> and had to be evacuated. </w:t>
      </w:r>
      <w:r w:rsidR="00135D5B">
        <w:t>Collaboration</w:t>
      </w:r>
      <w:r w:rsidR="008146C1">
        <w:t xml:space="preserve"> between the 30 Birds Foundation and Dentons facilitated and finalized the scholar’s Canadian refugee applications. </w:t>
      </w:r>
    </w:p>
    <w:p w14:paraId="28B1ECA1" w14:textId="77777777" w:rsidR="00CD7C2D" w:rsidRDefault="00CD7C2D" w:rsidP="00CD7C2D">
      <w:r>
        <w:t>________________________________________________________________________________</w:t>
      </w:r>
    </w:p>
    <w:p w14:paraId="2A18C924" w14:textId="6785A291" w:rsidR="00DF662A" w:rsidRDefault="00CD7C2D">
      <w:r>
        <w:t>→ Why It Fits:</w:t>
      </w:r>
      <w:r w:rsidR="008146C1">
        <w:t xml:space="preserve"> </w:t>
      </w:r>
      <w:r w:rsidR="009F72C3">
        <w:t xml:space="preserve">Dentons operated the legal arrival of these Afghan scholars in defense of their human rights for education and freedom of speech. This community faced extreme oppression for their democratic perspectives and practices, which called for immediate aid. </w:t>
      </w:r>
    </w:p>
    <w:p w14:paraId="6A2C6457" w14:textId="57B10635" w:rsidR="0099217B" w:rsidRPr="00BF0974" w:rsidRDefault="0099217B" w:rsidP="0099217B">
      <w:pPr>
        <w:pStyle w:val="Heading2"/>
        <w:rPr>
          <w:rFonts w:asciiTheme="minorHAnsi" w:hAnsiTheme="minorHAnsi" w:cs="Arial"/>
        </w:rPr>
      </w:pPr>
      <w:commentRangeStart w:id="11"/>
      <w:r>
        <w:rPr>
          <w:rFonts w:asciiTheme="minorHAnsi" w:hAnsiTheme="minorHAnsi" w:cs="Arial"/>
        </w:rPr>
        <w:t>Afghan Women Judges in Ontario (Ontario, Canada)</w:t>
      </w:r>
      <w:commentRangeEnd w:id="11"/>
      <w:r w:rsidR="00471670">
        <w:rPr>
          <w:rStyle w:val="CommentReference"/>
          <w:rFonts w:asciiTheme="minorHAnsi" w:eastAsiaTheme="minorEastAsia" w:hAnsiTheme="minorHAnsi" w:cstheme="minorBidi"/>
          <w:b w:val="0"/>
          <w:bCs w:val="0"/>
          <w:color w:val="auto"/>
        </w:rPr>
        <w:commentReference w:id="11"/>
      </w:r>
    </w:p>
    <w:p w14:paraId="441243BC" w14:textId="13BCE35D" w:rsidR="0099217B" w:rsidRDefault="00F41B0F" w:rsidP="0099217B">
      <w:r>
        <w:t xml:space="preserve">When the Taliban recovered control of Afghanistan in 2021, the International Association of Women Judges (IAWJ) assisted in evacuating approximately 200 women judges. </w:t>
      </w:r>
      <w:r w:rsidR="00471670">
        <w:t>Dentons provided legal aid in the resettlement of Aghan Women Judges to Canada. In addition to financial support and refugee establishment, Dentons also welcomes the judges to professional development activities like “Lunch and Learn.”</w:t>
      </w:r>
    </w:p>
    <w:p w14:paraId="0BBD4CE1" w14:textId="77777777" w:rsidR="0099217B" w:rsidRDefault="0099217B" w:rsidP="0099217B">
      <w:r>
        <w:t>________________________________________________________________________________</w:t>
      </w:r>
    </w:p>
    <w:p w14:paraId="783B1573" w14:textId="2C2BA9A2" w:rsidR="0099217B" w:rsidRDefault="0099217B" w:rsidP="0099217B">
      <w:r>
        <w:t xml:space="preserve">→ Why It Fits: </w:t>
      </w:r>
      <w:r w:rsidR="00171AA4">
        <w:t>In Afghanistan, t</w:t>
      </w:r>
      <w:r w:rsidR="005E5B83">
        <w:t xml:space="preserve">he Afghan Women Judges </w:t>
      </w:r>
      <w:r w:rsidR="001D1219">
        <w:t>were</w:t>
      </w:r>
      <w:r w:rsidR="005E5B83">
        <w:t xml:space="preserve"> marginalized individuals</w:t>
      </w:r>
      <w:r w:rsidR="00171AA4">
        <w:t xml:space="preserve"> </w:t>
      </w:r>
      <w:r w:rsidR="005E5B83">
        <w:t>deprived of their human right</w:t>
      </w:r>
      <w:r w:rsidR="00171AA4">
        <w:t>s</w:t>
      </w:r>
      <w:r w:rsidR="005E5B83">
        <w:t xml:space="preserve"> </w:t>
      </w:r>
      <w:r w:rsidR="00171AA4">
        <w:t>of work</w:t>
      </w:r>
      <w:r w:rsidR="005E5B83">
        <w:t xml:space="preserve">, security, and freedom of speech. </w:t>
      </w:r>
      <w:r w:rsidR="00171AA4">
        <w:t xml:space="preserve">Dentons’ involvement in the judge’s resettlements is advocacy for human rights. </w:t>
      </w:r>
    </w:p>
    <w:p w14:paraId="2EA29778" w14:textId="035880C1" w:rsidR="00E057E0" w:rsidRPr="00C877CB" w:rsidRDefault="00E057E0" w:rsidP="00E057E0">
      <w:pPr>
        <w:pStyle w:val="Heading2"/>
        <w:rPr>
          <w:rFonts w:asciiTheme="minorHAnsi" w:hAnsiTheme="minorHAnsi" w:cs="Arial"/>
        </w:rPr>
      </w:pPr>
      <w:commentRangeStart w:id="12"/>
      <w:r w:rsidRPr="00C877CB">
        <w:rPr>
          <w:rFonts w:asciiTheme="minorHAnsi" w:hAnsiTheme="minorHAnsi" w:cs="Arial"/>
        </w:rPr>
        <w:t>8AM Media (Vancouver, Canada)</w:t>
      </w:r>
      <w:commentRangeEnd w:id="12"/>
      <w:r w:rsidR="006679EA">
        <w:rPr>
          <w:rStyle w:val="CommentReference"/>
          <w:rFonts w:asciiTheme="minorHAnsi" w:eastAsiaTheme="minorEastAsia" w:hAnsiTheme="minorHAnsi" w:cstheme="minorBidi"/>
          <w:b w:val="0"/>
          <w:bCs w:val="0"/>
          <w:color w:val="auto"/>
        </w:rPr>
        <w:commentReference w:id="12"/>
      </w:r>
    </w:p>
    <w:p w14:paraId="2E999F6D" w14:textId="71375E28" w:rsidR="00E057E0" w:rsidRPr="003614FF" w:rsidRDefault="003614FF" w:rsidP="00E057E0">
      <w:r w:rsidRPr="003614FF">
        <w:t>8AM Media is a p</w:t>
      </w:r>
      <w:r>
        <w:t xml:space="preserve">rominent and independent non-profit daily newspaper based in Afghanistan. The media outlet’s commitment to citizen journalism, civic education, and balanced reporting lead to their resettlement in Canada to freely continue their mission. Dentons </w:t>
      </w:r>
      <w:r w:rsidR="0040369E">
        <w:t xml:space="preserve">Canada is equipping 8AM Media with legal services and resources </w:t>
      </w:r>
      <w:r w:rsidR="005F7AC3">
        <w:t xml:space="preserve">in support of their journalistic integrity. </w:t>
      </w:r>
    </w:p>
    <w:p w14:paraId="5685E15A" w14:textId="77777777" w:rsidR="00E057E0" w:rsidRPr="003614FF" w:rsidRDefault="00E057E0" w:rsidP="00E057E0">
      <w:r w:rsidRPr="003614FF">
        <w:t>________________________________________________________________________________</w:t>
      </w:r>
    </w:p>
    <w:p w14:paraId="2DF9FB5A" w14:textId="5A675D33" w:rsidR="0099217B" w:rsidRDefault="00E057E0">
      <w:r>
        <w:t xml:space="preserve">→ Why It Fits:  </w:t>
      </w:r>
      <w:r w:rsidR="005F7AC3">
        <w:t xml:space="preserve">Honest journalism is the epitome of human rights: the right of freedom of speech, the right to intake </w:t>
      </w:r>
      <w:proofErr w:type="gramStart"/>
      <w:r w:rsidR="005F7AC3">
        <w:t>factual information</w:t>
      </w:r>
      <w:proofErr w:type="gramEnd"/>
      <w:r w:rsidR="005F7AC3">
        <w:t xml:space="preserve">, and the right to publish. The newspaper being originally based in Afghanistan made the experienced group of media managers, </w:t>
      </w:r>
      <w:r w:rsidR="005F7AC3">
        <w:lastRenderedPageBreak/>
        <w:t xml:space="preserve">journalists and human rights more susceptible to </w:t>
      </w:r>
      <w:r w:rsidR="006679EA">
        <w:t>belittlement and unjustifiable punishments. Dentons Canada contributed to their legal refuge and resume of speech.</w:t>
      </w:r>
    </w:p>
    <w:p w14:paraId="7866C5D4" w14:textId="25D077C5" w:rsidR="00770DAF" w:rsidRPr="004379D9" w:rsidRDefault="00770DAF" w:rsidP="00770DAF">
      <w:pPr>
        <w:pStyle w:val="Heading2"/>
        <w:rPr>
          <w:rFonts w:asciiTheme="minorHAnsi" w:hAnsiTheme="minorHAnsi" w:cs="Arial"/>
        </w:rPr>
      </w:pPr>
      <w:commentRangeStart w:id="13"/>
      <w:commentRangeStart w:id="14"/>
      <w:r w:rsidRPr="004379D9">
        <w:rPr>
          <w:rFonts w:asciiTheme="minorHAnsi" w:hAnsiTheme="minorHAnsi" w:cs="Arial"/>
        </w:rPr>
        <w:t>Islamophobia Response Unit (IRU)</w:t>
      </w:r>
      <w:r w:rsidR="004379D9" w:rsidRPr="004379D9">
        <w:rPr>
          <w:rFonts w:asciiTheme="minorHAnsi" w:hAnsiTheme="minorHAnsi" w:cs="Arial"/>
        </w:rPr>
        <w:t xml:space="preserve"> </w:t>
      </w:r>
      <w:commentRangeEnd w:id="13"/>
      <w:r w:rsidR="004379D9">
        <w:rPr>
          <w:rStyle w:val="CommentReference"/>
          <w:rFonts w:asciiTheme="minorHAnsi" w:eastAsiaTheme="minorEastAsia" w:hAnsiTheme="minorHAnsi" w:cstheme="minorBidi"/>
          <w:b w:val="0"/>
          <w:bCs w:val="0"/>
          <w:color w:val="auto"/>
        </w:rPr>
        <w:commentReference w:id="13"/>
      </w:r>
      <w:commentRangeEnd w:id="14"/>
      <w:r w:rsidR="004379D9">
        <w:rPr>
          <w:rStyle w:val="CommentReference"/>
          <w:rFonts w:asciiTheme="minorHAnsi" w:eastAsiaTheme="minorEastAsia" w:hAnsiTheme="minorHAnsi" w:cstheme="minorBidi"/>
          <w:b w:val="0"/>
          <w:bCs w:val="0"/>
          <w:color w:val="auto"/>
        </w:rPr>
        <w:commentReference w:id="14"/>
      </w:r>
      <w:r w:rsidR="004379D9" w:rsidRPr="004379D9">
        <w:rPr>
          <w:rFonts w:asciiTheme="minorHAnsi" w:hAnsiTheme="minorHAnsi" w:cs="Arial"/>
        </w:rPr>
        <w:t>(Dubai, United</w:t>
      </w:r>
      <w:r w:rsidR="004379D9">
        <w:rPr>
          <w:rFonts w:asciiTheme="minorHAnsi" w:hAnsiTheme="minorHAnsi" w:cs="Arial"/>
        </w:rPr>
        <w:t xml:space="preserve"> Arab Emirates)</w:t>
      </w:r>
    </w:p>
    <w:p w14:paraId="19C04ECD" w14:textId="28C88E47" w:rsidR="00770DAF" w:rsidRPr="003614FF" w:rsidRDefault="00770DAF" w:rsidP="00770DAF">
      <w:r>
        <w:t xml:space="preserve">The </w:t>
      </w:r>
      <w:r w:rsidRPr="00770DAF">
        <w:t xml:space="preserve">IRU is an independent charity dedicated to supporting people affected by Islamophobic incidents in England and Wales. </w:t>
      </w:r>
      <w:r w:rsidR="004379D9">
        <w:t xml:space="preserve">The </w:t>
      </w:r>
      <w:r w:rsidRPr="00770DAF">
        <w:t xml:space="preserve">platform </w:t>
      </w:r>
      <w:r w:rsidR="004379D9">
        <w:t>provides</w:t>
      </w:r>
      <w:r w:rsidRPr="00770DAF">
        <w:t xml:space="preserve"> victims of Islamophobia</w:t>
      </w:r>
      <w:r w:rsidR="004379D9">
        <w:t xml:space="preserve"> confidentiality to report</w:t>
      </w:r>
      <w:r w:rsidRPr="00770DAF">
        <w:t xml:space="preserve"> their experiences</w:t>
      </w:r>
      <w:r w:rsidR="004379D9">
        <w:t xml:space="preserve">, </w:t>
      </w:r>
      <w:r w:rsidRPr="00770DAF">
        <w:t>legal guidance</w:t>
      </w:r>
      <w:r w:rsidR="004379D9">
        <w:t xml:space="preserve">, emotional support, and an overall outlet for their voices to be heard. Dentons Dubai </w:t>
      </w:r>
      <w:r w:rsidR="004379D9" w:rsidRPr="004379D9">
        <w:t>updated the IRU's legislation manual, which is used as a "first port of call" resource by IRU case worker volunteers</w:t>
      </w:r>
      <w:r w:rsidR="007B71B1">
        <w:t>. Direct access to this manual allows volunteers to assist</w:t>
      </w:r>
      <w:r w:rsidR="004379D9" w:rsidRPr="004379D9">
        <w:t xml:space="preserve"> victims quickly</w:t>
      </w:r>
      <w:r w:rsidR="007B71B1">
        <w:t xml:space="preserve"> while maintaining consistency</w:t>
      </w:r>
      <w:r w:rsidR="004379D9" w:rsidRPr="004379D9">
        <w:t xml:space="preserve"> with local laws.</w:t>
      </w:r>
    </w:p>
    <w:p w14:paraId="019BE0D3" w14:textId="77777777" w:rsidR="00770DAF" w:rsidRPr="003614FF" w:rsidRDefault="00770DAF" w:rsidP="00770DAF">
      <w:r w:rsidRPr="003614FF">
        <w:t>________________________________________________________________________________</w:t>
      </w:r>
    </w:p>
    <w:p w14:paraId="540CA3AB" w14:textId="03DCB3F0" w:rsidR="00770DAF" w:rsidRDefault="00770DAF" w:rsidP="00770DAF">
      <w:r>
        <w:t xml:space="preserve">→ Why It Fits:  </w:t>
      </w:r>
      <w:r w:rsidR="007B71B1">
        <w:t xml:space="preserve">Islamophobia targets a marginalized community based on religion and ethnicity. Dentons responding to this discrimination is about protecting fundamental rights and freedoms: freedom of religion, freedom from hate-based violence, dignity, and safety. </w:t>
      </w:r>
    </w:p>
    <w:p w14:paraId="12741007" w14:textId="77777777" w:rsidR="00E057E0" w:rsidRDefault="00E057E0"/>
    <w:p w14:paraId="13E93DB3" w14:textId="77777777" w:rsidR="00DF662A" w:rsidRPr="00793EDB" w:rsidRDefault="00280C3C">
      <w:pPr>
        <w:pStyle w:val="Heading1"/>
        <w:rPr>
          <w:rFonts w:ascii="Arial" w:hAnsi="Arial" w:cs="Arial"/>
          <w:color w:val="0072CE"/>
        </w:rPr>
      </w:pPr>
      <w:r w:rsidRPr="00793EDB">
        <w:rPr>
          <w:rFonts w:ascii="Arial" w:hAnsi="Arial" w:cs="Arial"/>
          <w:color w:val="0072CE"/>
        </w:rPr>
        <w:t>Access to Justice</w:t>
      </w:r>
    </w:p>
    <w:p w14:paraId="75F0CAC6" w14:textId="77777777" w:rsidR="00DF662A" w:rsidRDefault="00280C3C">
      <w:r>
        <w:t>We support the fair application of the rule of law for everyone.</w:t>
      </w:r>
    </w:p>
    <w:p w14:paraId="31A00A76" w14:textId="77777777" w:rsidR="00DF662A" w:rsidRPr="00BF0974" w:rsidRDefault="00280C3C">
      <w:pPr>
        <w:pStyle w:val="Heading2"/>
        <w:rPr>
          <w:rFonts w:asciiTheme="minorHAnsi" w:hAnsiTheme="minorHAnsi" w:cs="Arial"/>
        </w:rPr>
      </w:pPr>
      <w:commentRangeStart w:id="15"/>
      <w:r w:rsidRPr="00BF0974">
        <w:rPr>
          <w:rFonts w:asciiTheme="minorHAnsi" w:hAnsiTheme="minorHAnsi" w:cs="Arial"/>
        </w:rPr>
        <w:t>McCullough v. City of Montgomery (Montgomery, Alabama)</w:t>
      </w:r>
      <w:commentRangeEnd w:id="15"/>
      <w:r w:rsidR="005D188A">
        <w:rPr>
          <w:rStyle w:val="CommentReference"/>
          <w:rFonts w:asciiTheme="minorHAnsi" w:eastAsiaTheme="minorEastAsia" w:hAnsiTheme="minorHAnsi" w:cstheme="minorBidi"/>
          <w:b w:val="0"/>
          <w:bCs w:val="0"/>
          <w:color w:val="auto"/>
        </w:rPr>
        <w:commentReference w:id="15"/>
      </w:r>
    </w:p>
    <w:p w14:paraId="63BE2682" w14:textId="67EF7BFD" w:rsidR="00DF662A" w:rsidRPr="005D188A" w:rsidRDefault="005D188A">
      <w:pPr>
        <w:rPr>
          <w:rFonts w:cs="Arial"/>
        </w:rPr>
      </w:pPr>
      <w:r w:rsidRPr="005D188A">
        <w:rPr>
          <w:rFonts w:cs="Arial"/>
        </w:rPr>
        <w:t>In collaboration with the National Center of Law and Economic Justice (NCLEJ), the lawsuit challenges Montgomery’s unethical procedure for charging fines against traffic tickets and additional misdemeanors. The unjust charges enforced individuals, who were unable to pay fines, to “probation” with a private contractor. Probationers who couldn’t purchase their freedom were unconstitutionally jailed</w:t>
      </w:r>
      <w:r w:rsidR="00135D5B">
        <w:rPr>
          <w:rFonts w:cs="Arial"/>
        </w:rPr>
        <w:t xml:space="preserve">. This community is also </w:t>
      </w:r>
      <w:r w:rsidRPr="005D188A">
        <w:rPr>
          <w:rFonts w:cs="Arial"/>
        </w:rPr>
        <w:t xml:space="preserve">predominately low-income and Black. </w:t>
      </w:r>
    </w:p>
    <w:p w14:paraId="10D83AAC" w14:textId="77777777" w:rsidR="00DF662A" w:rsidRDefault="00280C3C">
      <w:r>
        <w:t>________________________________________________________________________________</w:t>
      </w:r>
    </w:p>
    <w:p w14:paraId="524F8C1C" w14:textId="4197092C" w:rsidR="00DF662A" w:rsidRDefault="00280C3C">
      <w:r>
        <w:t xml:space="preserve">→ </w:t>
      </w:r>
      <w:r w:rsidR="009A4267">
        <w:t xml:space="preserve">Why It Fits: </w:t>
      </w:r>
      <w:r w:rsidR="005D188A" w:rsidRPr="005D188A">
        <w:t xml:space="preserve">Montgomery residents who were unjustly indebted to private contractors, as well as residents who faced imprisonment for unpaid probation, are groups who were denied of justice. </w:t>
      </w:r>
      <w:r w:rsidR="005D188A">
        <w:t>Dentons’ a</w:t>
      </w:r>
      <w:r>
        <w:t>dvocated for fair legal processes and equal treatment under the law</w:t>
      </w:r>
      <w:r w:rsidR="005D188A">
        <w:t xml:space="preserve"> for everyone</w:t>
      </w:r>
      <w:r>
        <w:t>.</w:t>
      </w:r>
    </w:p>
    <w:p w14:paraId="0F5BBEA6" w14:textId="7BB8FFCF" w:rsidR="005D188A" w:rsidRPr="00BF0974" w:rsidRDefault="005D188A" w:rsidP="005D188A">
      <w:pPr>
        <w:pStyle w:val="Heading2"/>
        <w:rPr>
          <w:rFonts w:asciiTheme="minorHAnsi" w:hAnsiTheme="minorHAnsi" w:cs="Arial"/>
        </w:rPr>
      </w:pPr>
      <w:commentRangeStart w:id="16"/>
      <w:r>
        <w:rPr>
          <w:rFonts w:asciiTheme="minorHAnsi" w:hAnsiTheme="minorHAnsi" w:cs="Arial"/>
        </w:rPr>
        <w:t>Richardson v. Booker</w:t>
      </w:r>
      <w:r w:rsidR="009A4267">
        <w:rPr>
          <w:rFonts w:asciiTheme="minorHAnsi" w:hAnsiTheme="minorHAnsi" w:cs="Arial"/>
        </w:rPr>
        <w:t xml:space="preserve"> &amp; </w:t>
      </w:r>
      <w:r>
        <w:rPr>
          <w:rFonts w:asciiTheme="minorHAnsi" w:hAnsiTheme="minorHAnsi" w:cs="Arial"/>
        </w:rPr>
        <w:t>the Domestic Violence Appeals Project (National)</w:t>
      </w:r>
      <w:commentRangeEnd w:id="16"/>
      <w:r w:rsidR="009A4267">
        <w:rPr>
          <w:rStyle w:val="CommentReference"/>
          <w:rFonts w:asciiTheme="minorHAnsi" w:eastAsiaTheme="minorEastAsia" w:hAnsiTheme="minorHAnsi" w:cstheme="minorBidi"/>
          <w:b w:val="0"/>
          <w:bCs w:val="0"/>
          <w:color w:val="auto"/>
        </w:rPr>
        <w:commentReference w:id="16"/>
      </w:r>
    </w:p>
    <w:p w14:paraId="4DAD98F5" w14:textId="71BA9112" w:rsidR="005D188A" w:rsidRDefault="005D188A" w:rsidP="005D188A">
      <w:r>
        <w:t>The Domestic Violence Appeals Project is a</w:t>
      </w:r>
      <w:r w:rsidRPr="005D188A">
        <w:t xml:space="preserve"> union between Dentons, Legal Aid Chicago, and Ascend Justice that provides appellate representation to individuals who have been inappropriately denied certain remedies requested in an order of protection</w:t>
      </w:r>
      <w:r>
        <w:t>. One of the most impact</w:t>
      </w:r>
      <w:r w:rsidR="004E1581">
        <w:t>ful</w:t>
      </w:r>
      <w:r>
        <w:t xml:space="preserve"> victories being Richardson v. Booker, the court placed the blame on</w:t>
      </w:r>
      <w:r w:rsidR="004E1581">
        <w:t xml:space="preserve"> the</w:t>
      </w:r>
      <w:r>
        <w:t xml:space="preserve"> </w:t>
      </w:r>
      <w:r>
        <w:lastRenderedPageBreak/>
        <w:t xml:space="preserve">survivor and found the attacker’s abuse history irrelevant. As a response, the appellate court articulated that a defensive survivor is entitled to protection, abuse is not solely physical, and that abuse </w:t>
      </w:r>
      <w:r w:rsidR="004E1581">
        <w:t xml:space="preserve">can </w:t>
      </w:r>
      <w:r>
        <w:t>occur</w:t>
      </w:r>
      <w:r w:rsidR="004E1581">
        <w:t xml:space="preserve"> </w:t>
      </w:r>
      <w:r>
        <w:t xml:space="preserve">over years. </w:t>
      </w:r>
    </w:p>
    <w:p w14:paraId="17D1C0C1" w14:textId="77777777" w:rsidR="005D188A" w:rsidRDefault="005D188A" w:rsidP="005D188A">
      <w:r>
        <w:t>________________________________________________________________________________</w:t>
      </w:r>
    </w:p>
    <w:p w14:paraId="64DC661B" w14:textId="05C1DA90" w:rsidR="005D188A" w:rsidRDefault="005D188A" w:rsidP="005D188A">
      <w:r>
        <w:t xml:space="preserve">→ </w:t>
      </w:r>
      <w:r w:rsidR="009A4267">
        <w:t xml:space="preserve">Why It Fits: </w:t>
      </w:r>
      <w:r>
        <w:t xml:space="preserve">Appellate representations under the Domestic Violence Appeals Project challenges unfair legal processes and treatments, which leads to corrections. The fair application of law is for everyone including domestic violence survivors. </w:t>
      </w:r>
    </w:p>
    <w:p w14:paraId="64C4EFCC" w14:textId="4FC02596" w:rsidR="0039285E" w:rsidRPr="0054281E" w:rsidRDefault="0054281E" w:rsidP="0039285E">
      <w:pPr>
        <w:pStyle w:val="Heading2"/>
        <w:rPr>
          <w:rFonts w:asciiTheme="minorHAnsi" w:hAnsiTheme="minorHAnsi" w:cs="Arial"/>
        </w:rPr>
      </w:pPr>
      <w:commentRangeStart w:id="17"/>
      <w:commentRangeStart w:id="18"/>
      <w:r w:rsidRPr="0054281E">
        <w:rPr>
          <w:rFonts w:asciiTheme="minorHAnsi" w:hAnsiTheme="minorHAnsi" w:cs="Arial"/>
        </w:rPr>
        <w:t>U.S. v</w:t>
      </w:r>
      <w:r>
        <w:rPr>
          <w:rFonts w:asciiTheme="minorHAnsi" w:hAnsiTheme="minorHAnsi" w:cs="Arial"/>
        </w:rPr>
        <w:t xml:space="preserve">. </w:t>
      </w:r>
      <w:r w:rsidRPr="0054281E">
        <w:rPr>
          <w:rFonts w:asciiTheme="minorHAnsi" w:hAnsiTheme="minorHAnsi" w:cs="Arial"/>
        </w:rPr>
        <w:t>Rahimi &amp; Legal</w:t>
      </w:r>
      <w:r>
        <w:rPr>
          <w:rFonts w:asciiTheme="minorHAnsi" w:hAnsiTheme="minorHAnsi" w:cs="Arial"/>
        </w:rPr>
        <w:t xml:space="preserve"> Aid Chicago, Ascend Justice, 20+ organizations (National)</w:t>
      </w:r>
      <w:commentRangeEnd w:id="17"/>
      <w:r>
        <w:rPr>
          <w:rStyle w:val="CommentReference"/>
          <w:rFonts w:asciiTheme="minorHAnsi" w:eastAsiaTheme="minorEastAsia" w:hAnsiTheme="minorHAnsi" w:cstheme="minorBidi"/>
          <w:b w:val="0"/>
          <w:bCs w:val="0"/>
          <w:color w:val="auto"/>
        </w:rPr>
        <w:commentReference w:id="17"/>
      </w:r>
      <w:commentRangeEnd w:id="18"/>
      <w:r w:rsidR="00907A68">
        <w:rPr>
          <w:rStyle w:val="CommentReference"/>
          <w:rFonts w:asciiTheme="minorHAnsi" w:eastAsiaTheme="minorEastAsia" w:hAnsiTheme="minorHAnsi" w:cstheme="minorBidi"/>
          <w:b w:val="0"/>
          <w:bCs w:val="0"/>
          <w:color w:val="auto"/>
        </w:rPr>
        <w:commentReference w:id="18"/>
      </w:r>
    </w:p>
    <w:p w14:paraId="7230405F" w14:textId="18D864D1" w:rsidR="0039285E" w:rsidRDefault="0054281E" w:rsidP="0039285E">
      <w:r>
        <w:t xml:space="preserve">Dentons’ Litigation team filed an amicus brief in Richardson v. Booker on behalf of Legal Aid Chicago, Ascend Justice, and 20 additional organizations striving to support survivors of domestic violence. The team’s brief addressed the necessity of the statute to protect domestic violence victims from further harm and death. Ultimately, the Court reversed a Fifth Circuit ruling to allow domestic abusers to be harmed – the conclusion stated that abusers to not have the constitutional right to own guns. </w:t>
      </w:r>
    </w:p>
    <w:p w14:paraId="40225F7E" w14:textId="77777777" w:rsidR="0039285E" w:rsidRDefault="0039285E" w:rsidP="0039285E">
      <w:r>
        <w:t>________________________________________________________________________________</w:t>
      </w:r>
    </w:p>
    <w:p w14:paraId="01B63CAB" w14:textId="0D0DA4B2" w:rsidR="0039285E" w:rsidRDefault="0039285E" w:rsidP="0039285E">
      <w:r>
        <w:t xml:space="preserve">→ Why It Fits: </w:t>
      </w:r>
      <w:r w:rsidR="00C21163">
        <w:t xml:space="preserve">Under the Violence Against Women Act (VAWA), </w:t>
      </w:r>
      <w:r w:rsidR="006D377F">
        <w:t>t</w:t>
      </w:r>
      <w:r w:rsidR="00C21163">
        <w:t xml:space="preserve">he rule of law </w:t>
      </w:r>
      <w:r w:rsidR="006D377F">
        <w:t xml:space="preserve">recognizes domestic violence as an official crime and therefore anyone who commits domestic abuse as criminals. For this reason, </w:t>
      </w:r>
      <w:r w:rsidR="00C21163">
        <w:t>civil and criminal protection orders must be enforced to protect domestic violence victims.</w:t>
      </w:r>
      <w:r w:rsidR="006D377F">
        <w:t xml:space="preserve"> The removal of gun rights for domestic abusers is a protective measure, and an action towards justice for survivors.</w:t>
      </w:r>
    </w:p>
    <w:p w14:paraId="28218154" w14:textId="40C086D6" w:rsidR="00907A68" w:rsidRPr="0054281E" w:rsidRDefault="00907A68" w:rsidP="00907A68">
      <w:pPr>
        <w:pStyle w:val="Heading2"/>
        <w:rPr>
          <w:rFonts w:asciiTheme="minorHAnsi" w:hAnsiTheme="minorHAnsi" w:cs="Arial"/>
        </w:rPr>
      </w:pPr>
      <w:r>
        <w:rPr>
          <w:rFonts w:asciiTheme="minorHAnsi" w:hAnsiTheme="minorHAnsi" w:cs="Arial"/>
        </w:rPr>
        <w:t>Her Justice (New York, New York)</w:t>
      </w:r>
    </w:p>
    <w:p w14:paraId="286B2CB0" w14:textId="297A27E8" w:rsidR="00907A68" w:rsidRDefault="00BE04BF" w:rsidP="00907A68">
      <w:r>
        <w:t xml:space="preserve">Her Justice is a non-profit organization (NGO) that provides access to legal services to underserved and low-economic status women in New York City. The organization connects </w:t>
      </w:r>
      <w:r w:rsidR="00AD5282">
        <w:t>thousands</w:t>
      </w:r>
      <w:r>
        <w:t xml:space="preserve"> of pro bono lawyers with women in need of legal assistance for family, matrimonial, and immigration matters. </w:t>
      </w:r>
      <w:r w:rsidR="00780679">
        <w:t xml:space="preserve">Over the years, Dentons colleagues and summer associates have assisted Her Justice and its clients with navigating Family Court matters, pursuing unconsented divorces, self-petitioning for protection under VAWA, and securing U-Vias. </w:t>
      </w:r>
    </w:p>
    <w:p w14:paraId="329E261E" w14:textId="77777777" w:rsidR="00907A68" w:rsidRDefault="00907A68" w:rsidP="00907A68">
      <w:r>
        <w:t>________________________________________________________________________________</w:t>
      </w:r>
    </w:p>
    <w:p w14:paraId="50BEEDC8" w14:textId="0A8DEBE9" w:rsidR="00DF662A" w:rsidRDefault="00907A68">
      <w:r>
        <w:t xml:space="preserve">→ Why It Fits: </w:t>
      </w:r>
      <w:r w:rsidR="00186329">
        <w:t>Including women with impoverished backgrounds, t</w:t>
      </w:r>
      <w:r w:rsidR="00780679">
        <w:t xml:space="preserve">he rule of law and access to justice is application for everyone / </w:t>
      </w:r>
      <w:r w:rsidR="00A30101">
        <w:t>anyone</w:t>
      </w:r>
      <w:r w:rsidR="00186329">
        <w:t>. Whether it be assistance in family, immigration, or criminal legal matters, Dentons’ partnership with Her Justice asserts the message of inclusive a</w:t>
      </w:r>
      <w:r w:rsidR="00382A10">
        <w:t xml:space="preserve">ccess to law and justice for all. </w:t>
      </w:r>
    </w:p>
    <w:p w14:paraId="72200EA7" w14:textId="6BAEAEF7" w:rsidR="00F53511" w:rsidRPr="0054281E" w:rsidRDefault="00E025CB" w:rsidP="00F53511">
      <w:pPr>
        <w:pStyle w:val="Heading2"/>
        <w:rPr>
          <w:rFonts w:asciiTheme="minorHAnsi" w:hAnsiTheme="minorHAnsi" w:cs="Arial"/>
        </w:rPr>
      </w:pPr>
      <w:r w:rsidRPr="00E025CB">
        <w:rPr>
          <w:rFonts w:asciiTheme="minorHAnsi" w:hAnsiTheme="minorHAnsi" w:cs="Arial"/>
        </w:rPr>
        <w:lastRenderedPageBreak/>
        <w:t>Supreme Court of Canada intervention for Social Planning Council of Winnipeg</w:t>
      </w:r>
      <w:r>
        <w:rPr>
          <w:rFonts w:asciiTheme="minorHAnsi" w:hAnsiTheme="minorHAnsi" w:cs="Arial"/>
        </w:rPr>
        <w:t xml:space="preserve"> (Winnipeg, Canada)</w:t>
      </w:r>
    </w:p>
    <w:p w14:paraId="52DF17ED" w14:textId="0DCF1D82" w:rsidR="00F53511" w:rsidRDefault="00F53511" w:rsidP="00F53511">
      <w:r w:rsidRPr="00F53511">
        <w:t xml:space="preserve">A Toronto litigation partner represented the Social Planning Council of Winnipeg as an intervenor before the Supreme Court of Canada (SCC) in Earl Mason, et al v Minister of Citizenship and Immigration, et al (Mason). Mason is one of several recent cases that offered an opportunity for the SCC to consider the application of Canada (Minister of Citizenship and Immigration) v Vavilov, 2019 SCC 65, a pivotal SCC decision </w:t>
      </w:r>
      <w:r w:rsidR="004E6022">
        <w:t>that</w:t>
      </w:r>
      <w:r w:rsidRPr="00F53511">
        <w:t xml:space="preserve"> clarified the standard of review in Canadian administrative law. The central issue in Mason is whether s. 34(1)(e) of Canada’s Immigration and Refugee Protection Act was reasonably interpreted by an administrative body to apply to conduct that does not have a nexus with national security. The decision in Mason is of significance in the immigration law domain and in administrative law generally.</w:t>
      </w:r>
      <w:r>
        <w:t xml:space="preserve"> </w:t>
      </w:r>
    </w:p>
    <w:p w14:paraId="53A5BCD5" w14:textId="77777777" w:rsidR="00F53511" w:rsidRDefault="00F53511" w:rsidP="00F53511">
      <w:r>
        <w:t>________________________________________________________________________________</w:t>
      </w:r>
    </w:p>
    <w:p w14:paraId="184A1A23" w14:textId="01DFF716" w:rsidR="00F53511" w:rsidRDefault="00F53511" w:rsidP="00F53511">
      <w:r>
        <w:t xml:space="preserve">→ Why It Fits: </w:t>
      </w:r>
      <w:r w:rsidR="00E025CB">
        <w:t xml:space="preserve">(create description) </w:t>
      </w:r>
    </w:p>
    <w:p w14:paraId="768F9581" w14:textId="3B22A418" w:rsidR="00921D52" w:rsidRPr="0054281E" w:rsidRDefault="00921D52" w:rsidP="00921D52">
      <w:pPr>
        <w:pStyle w:val="Heading2"/>
        <w:rPr>
          <w:rFonts w:asciiTheme="minorHAnsi" w:hAnsiTheme="minorHAnsi" w:cs="Arial"/>
        </w:rPr>
      </w:pPr>
      <w:commentRangeStart w:id="19"/>
      <w:proofErr w:type="spellStart"/>
      <w:r>
        <w:rPr>
          <w:rFonts w:asciiTheme="minorHAnsi" w:hAnsiTheme="minorHAnsi" w:cs="Arial"/>
        </w:rPr>
        <w:t>PopLaw</w:t>
      </w:r>
      <w:proofErr w:type="spellEnd"/>
      <w:r>
        <w:rPr>
          <w:rFonts w:asciiTheme="minorHAnsi" w:hAnsiTheme="minorHAnsi" w:cs="Arial"/>
        </w:rPr>
        <w:t xml:space="preserve"> Free Legal Advice Clinics (London, United Kingdom)</w:t>
      </w:r>
      <w:commentRangeEnd w:id="19"/>
      <w:r w:rsidR="00196180">
        <w:rPr>
          <w:rStyle w:val="CommentReference"/>
          <w:rFonts w:asciiTheme="minorHAnsi" w:eastAsiaTheme="minorEastAsia" w:hAnsiTheme="minorHAnsi" w:cstheme="minorBidi"/>
          <w:b w:val="0"/>
          <w:bCs w:val="0"/>
          <w:color w:val="auto"/>
        </w:rPr>
        <w:commentReference w:id="19"/>
      </w:r>
    </w:p>
    <w:p w14:paraId="7D67747D" w14:textId="7B39186A" w:rsidR="00921D52" w:rsidRDefault="000B5AA0" w:rsidP="00921D52">
      <w:r>
        <w:t xml:space="preserve">Established in 2006, </w:t>
      </w:r>
      <w:proofErr w:type="spellStart"/>
      <w:r>
        <w:t>PopLaw</w:t>
      </w:r>
      <w:proofErr w:type="spellEnd"/>
      <w:r>
        <w:t xml:space="preserve"> is UK Dentons’ award-winning weekly walk-in initial legal advice clinic operating amongst the cities of Poplar and Whitechapel. Also offering a remote clinic, </w:t>
      </w:r>
      <w:proofErr w:type="spellStart"/>
      <w:r>
        <w:t>PopLaw</w:t>
      </w:r>
      <w:proofErr w:type="spellEnd"/>
      <w:r>
        <w:t xml:space="preserve"> </w:t>
      </w:r>
      <w:r w:rsidRPr="000B5AA0">
        <w:t xml:space="preserve">provides </w:t>
      </w:r>
      <w:proofErr w:type="gramStart"/>
      <w:r w:rsidRPr="000B5AA0">
        <w:t>local residents</w:t>
      </w:r>
      <w:proofErr w:type="gramEnd"/>
      <w:r w:rsidRPr="000B5AA0">
        <w:t xml:space="preserve"> with legal support on issues including debt, housing, consumer matters, employment</w:t>
      </w:r>
      <w:r w:rsidR="004E6022">
        <w:t>,</w:t>
      </w:r>
      <w:r w:rsidRPr="000B5AA0">
        <w:t xml:space="preserve"> and welfare benefits</w:t>
      </w:r>
      <w:r w:rsidR="004E6022">
        <w:t>,</w:t>
      </w:r>
      <w:r w:rsidRPr="000B5AA0">
        <w:t xml:space="preserve"> and takes place weekly for 50 weeks of the year.</w:t>
      </w:r>
    </w:p>
    <w:p w14:paraId="04ECDEB8" w14:textId="77777777" w:rsidR="00921D52" w:rsidRDefault="00921D52" w:rsidP="00921D52">
      <w:r>
        <w:t>________________________________________________________________________________</w:t>
      </w:r>
    </w:p>
    <w:p w14:paraId="0E28DD56" w14:textId="01C88E87" w:rsidR="00921D52" w:rsidRDefault="00921D52" w:rsidP="00921D52">
      <w:r>
        <w:t xml:space="preserve">→ Why It Fits: </w:t>
      </w:r>
      <w:r w:rsidR="000B5AA0">
        <w:t xml:space="preserve">Considering the recent cuts </w:t>
      </w:r>
      <w:r w:rsidR="00196180">
        <w:t xml:space="preserve">to the legal aid system, there is a substantial increase in demand for free legal advice. Dentons’ initiative to operate free legal advice clinics grants justice and representation for individuals struggling to access guidance. </w:t>
      </w:r>
    </w:p>
    <w:p w14:paraId="333CB830" w14:textId="1090C7F9" w:rsidR="00C308EB" w:rsidRPr="0054281E" w:rsidRDefault="00C308EB" w:rsidP="00C308EB">
      <w:pPr>
        <w:pStyle w:val="Heading2"/>
        <w:rPr>
          <w:rFonts w:asciiTheme="minorHAnsi" w:hAnsiTheme="minorHAnsi" w:cs="Arial"/>
        </w:rPr>
      </w:pPr>
      <w:commentRangeStart w:id="20"/>
      <w:r>
        <w:rPr>
          <w:rFonts w:asciiTheme="minorHAnsi" w:hAnsiTheme="minorHAnsi" w:cs="Arial"/>
        </w:rPr>
        <w:t>Greece Pro Bono Collaborative &amp; NGO European Lawyers in Lesvos (ELIL) (Athens and Lesvos, Greece)</w:t>
      </w:r>
      <w:commentRangeEnd w:id="20"/>
      <w:r>
        <w:rPr>
          <w:rStyle w:val="CommentReference"/>
          <w:rFonts w:asciiTheme="minorHAnsi" w:eastAsiaTheme="minorEastAsia" w:hAnsiTheme="minorHAnsi" w:cstheme="minorBidi"/>
          <w:b w:val="0"/>
          <w:bCs w:val="0"/>
          <w:color w:val="auto"/>
        </w:rPr>
        <w:commentReference w:id="20"/>
      </w:r>
    </w:p>
    <w:p w14:paraId="3B72D138" w14:textId="59EBEAE7" w:rsidR="00C308EB" w:rsidRDefault="00C308EB" w:rsidP="00C308EB">
      <w:r w:rsidRPr="00C308EB">
        <w:t>Since 2015, Greece has seen an upsurge in asylum claims, overwhelming the system and frustrating vulnerable asylum seekers' fundamental legal rights and needs.</w:t>
      </w:r>
      <w:r>
        <w:t xml:space="preserve"> As a response, Dentons UK launched </w:t>
      </w:r>
      <w:r w:rsidRPr="00C308EB">
        <w:t>the award-winning Greece Pro Bono Collaborative with NGO European Lawyers in Lesvos (ELIL) and five other firms.</w:t>
      </w:r>
      <w:r>
        <w:t xml:space="preserve"> </w:t>
      </w:r>
      <w:r w:rsidRPr="00C308EB">
        <w:t>The project sends volunteer lawyers on two-week secondments to work with ELIL in Athens and Lesvos, to offer guidance and advice to asylum seekers preparing for their interviews.</w:t>
      </w:r>
    </w:p>
    <w:p w14:paraId="3ED12BA2" w14:textId="77777777" w:rsidR="00C308EB" w:rsidRDefault="00C308EB" w:rsidP="00C308EB">
      <w:r>
        <w:t>________________________________________________________________________________</w:t>
      </w:r>
    </w:p>
    <w:p w14:paraId="7983BAF8" w14:textId="52DCC32F" w:rsidR="00C308EB" w:rsidRDefault="00C308EB" w:rsidP="00C308EB">
      <w:r>
        <w:t xml:space="preserve">→ Why It Fits: </w:t>
      </w:r>
      <w:r w:rsidRPr="00C308EB">
        <w:t>Of those people who have been assisted by ELIL, approximately 70% have been granted asylum, compared with an average success rate in Greece of 32%.</w:t>
      </w:r>
      <w:r>
        <w:t xml:space="preserve"> </w:t>
      </w:r>
      <w:r w:rsidR="0065112B">
        <w:t xml:space="preserve">This initiative directed refugees in Greece through their rule of immigration law, which granted them fair representation and application. </w:t>
      </w:r>
    </w:p>
    <w:p w14:paraId="2367270C" w14:textId="46A0EABB" w:rsidR="0065112B" w:rsidRPr="0054281E" w:rsidRDefault="0065112B" w:rsidP="0065112B">
      <w:pPr>
        <w:pStyle w:val="Heading2"/>
        <w:rPr>
          <w:rFonts w:asciiTheme="minorHAnsi" w:hAnsiTheme="minorHAnsi" w:cs="Arial"/>
        </w:rPr>
      </w:pPr>
      <w:commentRangeStart w:id="21"/>
      <w:r w:rsidRPr="0065112B">
        <w:rPr>
          <w:rFonts w:asciiTheme="minorHAnsi" w:hAnsiTheme="minorHAnsi" w:cs="Arial"/>
        </w:rPr>
        <w:lastRenderedPageBreak/>
        <w:t>Prisoners' Advice Service and Life After Guantanamo Project</w:t>
      </w:r>
      <w:r>
        <w:rPr>
          <w:rFonts w:asciiTheme="minorHAnsi" w:hAnsiTheme="minorHAnsi" w:cs="Arial"/>
        </w:rPr>
        <w:t xml:space="preserve"> (PAS) (England and Wales, United Kingdom) </w:t>
      </w:r>
      <w:commentRangeEnd w:id="21"/>
      <w:r w:rsidR="005A1E18">
        <w:rPr>
          <w:rStyle w:val="CommentReference"/>
          <w:rFonts w:asciiTheme="minorHAnsi" w:eastAsiaTheme="minorEastAsia" w:hAnsiTheme="minorHAnsi" w:cstheme="minorBidi"/>
          <w:b w:val="0"/>
          <w:bCs w:val="0"/>
          <w:color w:val="auto"/>
        </w:rPr>
        <w:commentReference w:id="21"/>
      </w:r>
    </w:p>
    <w:p w14:paraId="4751CF7A" w14:textId="5C76D8FA" w:rsidR="0065112B" w:rsidRDefault="0065112B" w:rsidP="0065112B">
      <w:r w:rsidRPr="0065112B">
        <w:t>The Prisoners' Advice Service (PAS) offers free legal advice and support to adult prisoners throughout England and Wales regarding their legal, human and healthcare rights.</w:t>
      </w:r>
      <w:r>
        <w:t xml:space="preserve"> Dentons UK participates in </w:t>
      </w:r>
      <w:r w:rsidRPr="0065112B">
        <w:t>PAS's letter writing clinic, with</w:t>
      </w:r>
      <w:r w:rsidR="005A1E18">
        <w:t xml:space="preserve"> </w:t>
      </w:r>
      <w:r w:rsidRPr="0065112B">
        <w:t>volunteers reviewing letters, researching legal queries, and drafting replies.</w:t>
      </w:r>
      <w:r w:rsidR="005A1E18">
        <w:t xml:space="preserve"> The firm’s advocacy for imprisoned individuals is extended further by their involvement in </w:t>
      </w:r>
      <w:r w:rsidR="005A1E18" w:rsidRPr="005A1E18">
        <w:t>the Life After Guantanamo Project</w:t>
      </w:r>
      <w:r w:rsidR="005A1E18">
        <w:t>: a worldwide collective aiding</w:t>
      </w:r>
      <w:r w:rsidR="005A1E18" w:rsidRPr="005A1E18">
        <w:t xml:space="preserve"> former detainees and their families </w:t>
      </w:r>
      <w:r w:rsidR="005A1E18">
        <w:t xml:space="preserve">after their release. </w:t>
      </w:r>
    </w:p>
    <w:p w14:paraId="2891462D" w14:textId="77777777" w:rsidR="0065112B" w:rsidRDefault="0065112B" w:rsidP="0065112B">
      <w:r>
        <w:t>________________________________________________________________________________</w:t>
      </w:r>
    </w:p>
    <w:p w14:paraId="1F9EFD92" w14:textId="1C361260" w:rsidR="001F18FA" w:rsidRDefault="0065112B">
      <w:r>
        <w:t xml:space="preserve">→ Why It Fits: </w:t>
      </w:r>
    </w:p>
    <w:p w14:paraId="07D7EFCE" w14:textId="3564F59A" w:rsidR="00871D41" w:rsidRPr="0054281E" w:rsidRDefault="00871D41" w:rsidP="00871D41">
      <w:pPr>
        <w:pStyle w:val="Heading2"/>
        <w:rPr>
          <w:rFonts w:asciiTheme="minorHAnsi" w:hAnsiTheme="minorHAnsi" w:cs="Arial"/>
        </w:rPr>
      </w:pPr>
      <w:commentRangeStart w:id="22"/>
      <w:r>
        <w:rPr>
          <w:rFonts w:asciiTheme="minorHAnsi" w:hAnsiTheme="minorHAnsi" w:cs="Arial"/>
        </w:rPr>
        <w:t xml:space="preserve">National Centre for Domestic Violence &amp; Morgan Stanley (United Kingdom &amp; United Arab Emirates) </w:t>
      </w:r>
      <w:r w:rsidRPr="0054281E">
        <w:rPr>
          <w:rFonts w:asciiTheme="minorHAnsi" w:hAnsiTheme="minorHAnsi" w:cs="Arial"/>
        </w:rPr>
        <w:t xml:space="preserve"> </w:t>
      </w:r>
      <w:commentRangeEnd w:id="22"/>
      <w:r w:rsidR="00A25367">
        <w:rPr>
          <w:rStyle w:val="CommentReference"/>
          <w:rFonts w:asciiTheme="minorHAnsi" w:eastAsiaTheme="minorEastAsia" w:hAnsiTheme="minorHAnsi" w:cstheme="minorBidi"/>
          <w:b w:val="0"/>
          <w:bCs w:val="0"/>
          <w:color w:val="auto"/>
        </w:rPr>
        <w:commentReference w:id="22"/>
      </w:r>
    </w:p>
    <w:p w14:paraId="021772E1" w14:textId="2DE3A046" w:rsidR="00871D41" w:rsidRDefault="00C7288E" w:rsidP="00871D41">
      <w:r>
        <w:t xml:space="preserve">The UK-based National Centre for Domestic Violence fulfills their objective to </w:t>
      </w:r>
      <w:r w:rsidRPr="00C7288E">
        <w:t>identify the early signs of domestic abuse,</w:t>
      </w:r>
      <w:r>
        <w:t xml:space="preserve"> created </w:t>
      </w:r>
      <w:r w:rsidRPr="00C7288E">
        <w:t>decisions for a</w:t>
      </w:r>
      <w:r>
        <w:t>n improved</w:t>
      </w:r>
      <w:r w:rsidRPr="00C7288E">
        <w:t xml:space="preserve"> life</w:t>
      </w:r>
      <w:r>
        <w:t>,</w:t>
      </w:r>
      <w:r w:rsidRPr="00C7288E">
        <w:t xml:space="preserve"> and </w:t>
      </w:r>
      <w:r>
        <w:t xml:space="preserve">to transform </w:t>
      </w:r>
      <w:r w:rsidRPr="00C7288E">
        <w:t>domestic abuse</w:t>
      </w:r>
      <w:r>
        <w:t xml:space="preserve"> as</w:t>
      </w:r>
      <w:r w:rsidRPr="00C7288E">
        <w:t xml:space="preserve"> socially unacceptable</w:t>
      </w:r>
      <w:r>
        <w:t xml:space="preserve">. </w:t>
      </w:r>
      <w:r w:rsidR="00A25367">
        <w:t xml:space="preserve">Alongside the firm’s in-house counterparts at Morgan Stanley, team members from the UK and UAE volunteer together to assist domestic violence victims in obtaining non-molestation orders and occupation orders. Volunteers complete work such as drafting witness statements and preparing documents for their first court appearance. </w:t>
      </w:r>
    </w:p>
    <w:p w14:paraId="589EC853" w14:textId="77777777" w:rsidR="00871D41" w:rsidRDefault="00871D41" w:rsidP="00871D41">
      <w:r>
        <w:t>________________________________________________________________________________</w:t>
      </w:r>
    </w:p>
    <w:p w14:paraId="5E7806E6" w14:textId="77777777" w:rsidR="00871D41" w:rsidRDefault="00871D41" w:rsidP="00871D41">
      <w:r>
        <w:t xml:space="preserve">→ Why It Fits: </w:t>
      </w:r>
    </w:p>
    <w:p w14:paraId="37043D57" w14:textId="7E25FD94" w:rsidR="006629F8" w:rsidRPr="0054281E" w:rsidRDefault="00180EC3" w:rsidP="006629F8">
      <w:pPr>
        <w:pStyle w:val="Heading2"/>
        <w:rPr>
          <w:rFonts w:asciiTheme="minorHAnsi" w:hAnsiTheme="minorHAnsi" w:cs="Arial"/>
        </w:rPr>
      </w:pPr>
      <w:r>
        <w:rPr>
          <w:rFonts w:asciiTheme="minorHAnsi" w:hAnsiTheme="minorHAnsi" w:cs="Arial"/>
        </w:rPr>
        <w:t xml:space="preserve">Verano &amp; </w:t>
      </w:r>
      <w:r w:rsidRPr="00180EC3">
        <w:rPr>
          <w:rFonts w:asciiTheme="minorHAnsi" w:hAnsiTheme="minorHAnsi" w:cs="Arial"/>
        </w:rPr>
        <w:t>Cannabis Expungement Clinic with Legal Aid Chicago</w:t>
      </w:r>
      <w:r>
        <w:rPr>
          <w:rFonts w:asciiTheme="minorHAnsi" w:hAnsiTheme="minorHAnsi" w:cs="Arial"/>
        </w:rPr>
        <w:t xml:space="preserve"> (Chicago, Illinois)</w:t>
      </w:r>
    </w:p>
    <w:p w14:paraId="38B20ADF" w14:textId="45DBFB26" w:rsidR="006629F8" w:rsidRDefault="00160F67" w:rsidP="006629F8">
      <w:r>
        <w:t>As a partnership</w:t>
      </w:r>
      <w:r w:rsidR="00180EC3" w:rsidRPr="00180EC3">
        <w:t xml:space="preserve"> with multi-state cannabis operator Verano</w:t>
      </w:r>
      <w:r>
        <w:t xml:space="preserve">, Dentons US and Verano hosted </w:t>
      </w:r>
      <w:r w:rsidR="00180EC3" w:rsidRPr="00180EC3">
        <w:t>a Cannabis Expungement Clinic with Legal Aid Chicago</w:t>
      </w:r>
      <w:r>
        <w:t xml:space="preserve">. The clinic presented </w:t>
      </w:r>
      <w:r w:rsidR="00180EC3" w:rsidRPr="00180EC3">
        <w:t>direct service to low-income clients seeking to expunge old arrest</w:t>
      </w:r>
      <w:r>
        <w:t xml:space="preserve"> and </w:t>
      </w:r>
      <w:r w:rsidR="00180EC3" w:rsidRPr="00180EC3">
        <w:t>convictions for small amounts of cannabis. This was the first such clinic under the new Cannabis Expungement provisions of the Illinois Cannabis legalization law.</w:t>
      </w:r>
    </w:p>
    <w:p w14:paraId="2157E5CE" w14:textId="77777777" w:rsidR="006629F8" w:rsidRDefault="006629F8" w:rsidP="006629F8">
      <w:r>
        <w:t>________________________________________________________________________________</w:t>
      </w:r>
    </w:p>
    <w:p w14:paraId="4417CCAE" w14:textId="77777777" w:rsidR="006629F8" w:rsidRDefault="006629F8" w:rsidP="006629F8">
      <w:r>
        <w:t xml:space="preserve">→ Why It Fits: </w:t>
      </w:r>
    </w:p>
    <w:p w14:paraId="550A5126" w14:textId="77777777" w:rsidR="00871D41" w:rsidRDefault="00871D41"/>
    <w:p w14:paraId="47B4E2CE" w14:textId="77777777" w:rsidR="00DF662A" w:rsidRPr="00793EDB" w:rsidRDefault="00280C3C">
      <w:pPr>
        <w:pStyle w:val="Heading1"/>
        <w:rPr>
          <w:rFonts w:ascii="Arial" w:hAnsi="Arial" w:cs="Arial"/>
          <w:color w:val="FFD600"/>
        </w:rPr>
      </w:pPr>
      <w:r w:rsidRPr="00793EDB">
        <w:rPr>
          <w:rFonts w:ascii="Arial" w:hAnsi="Arial" w:cs="Arial"/>
          <w:color w:val="FFD600"/>
        </w:rPr>
        <w:t>Neighborhoods</w:t>
      </w:r>
    </w:p>
    <w:p w14:paraId="016DC7D1" w14:textId="77777777" w:rsidR="00DF662A" w:rsidRDefault="00280C3C">
      <w:r>
        <w:t>We contribute to healthy and sustainable communities.</w:t>
      </w:r>
    </w:p>
    <w:p w14:paraId="6B973B45" w14:textId="2D7B2D51" w:rsidR="00DF662A" w:rsidRPr="00BF0974" w:rsidRDefault="005D188A">
      <w:pPr>
        <w:pStyle w:val="Heading2"/>
        <w:rPr>
          <w:rFonts w:asciiTheme="minorHAnsi" w:hAnsiTheme="minorHAnsi" w:cs="Arial"/>
        </w:rPr>
      </w:pPr>
      <w:commentRangeStart w:id="23"/>
      <w:r>
        <w:rPr>
          <w:rFonts w:asciiTheme="minorHAnsi" w:hAnsiTheme="minorHAnsi" w:cs="Arial"/>
        </w:rPr>
        <w:lastRenderedPageBreak/>
        <w:t>New York Says Thank You Foundation (NYSTYF)</w:t>
      </w:r>
      <w:commentRangeEnd w:id="23"/>
      <w:r>
        <w:rPr>
          <w:rStyle w:val="CommentReference"/>
          <w:rFonts w:asciiTheme="minorHAnsi" w:eastAsiaTheme="minorEastAsia" w:hAnsiTheme="minorHAnsi" w:cstheme="minorBidi"/>
          <w:b w:val="0"/>
          <w:bCs w:val="0"/>
          <w:color w:val="auto"/>
        </w:rPr>
        <w:commentReference w:id="23"/>
      </w:r>
      <w:r w:rsidR="004E1581">
        <w:rPr>
          <w:rFonts w:asciiTheme="minorHAnsi" w:hAnsiTheme="minorHAnsi" w:cs="Arial"/>
        </w:rPr>
        <w:t xml:space="preserve"> (New York</w:t>
      </w:r>
      <w:r w:rsidR="00087D64">
        <w:rPr>
          <w:rFonts w:asciiTheme="minorHAnsi" w:hAnsiTheme="minorHAnsi" w:cs="Arial"/>
        </w:rPr>
        <w:t>, New York</w:t>
      </w:r>
      <w:r w:rsidR="004E1581">
        <w:rPr>
          <w:rFonts w:asciiTheme="minorHAnsi" w:hAnsiTheme="minorHAnsi" w:cs="Arial"/>
        </w:rPr>
        <w:t>)</w:t>
      </w:r>
    </w:p>
    <w:p w14:paraId="23C9B590" w14:textId="724D3466" w:rsidR="00DF662A" w:rsidRDefault="005D188A">
      <w:r>
        <w:t xml:space="preserve">NYSTYF assists disaster survivors, empowers thousands of volunteers, and inspires students with programs encouraging service, hope, and community. On example being the Stars of HOPE Healing Arts Program – a mission bringing healing to communities after disasters through therapeutic art and connection – in which Dentons’ colleagues have lent on-hands volunteer support. Dentons has helped the foundation establish governance protocols and policies, secured intellectual property protections, and provided financial support. </w:t>
      </w:r>
    </w:p>
    <w:p w14:paraId="0C471F1F" w14:textId="77777777" w:rsidR="00DF662A" w:rsidRDefault="00280C3C">
      <w:r>
        <w:t>________________________________________________________________________________</w:t>
      </w:r>
    </w:p>
    <w:p w14:paraId="3BC9B49F" w14:textId="78C13DB6" w:rsidR="005D188A" w:rsidRDefault="00280C3C">
      <w:r>
        <w:t xml:space="preserve">→ </w:t>
      </w:r>
      <w:r w:rsidR="009A4267">
        <w:t xml:space="preserve">Why It Fits: </w:t>
      </w:r>
      <w:r w:rsidR="005D188A">
        <w:t>Through legal, financial, and active volunteering, Dentons’ involvement strengthens</w:t>
      </w:r>
      <w:r>
        <w:t xml:space="preserve"> the resilience of local and displaced</w:t>
      </w:r>
      <w:r w:rsidR="005D188A">
        <w:t xml:space="preserve"> neighborhoods</w:t>
      </w:r>
      <w:r>
        <w:t>.</w:t>
      </w:r>
    </w:p>
    <w:p w14:paraId="1634DADA" w14:textId="70A208B7" w:rsidR="005D188A" w:rsidRPr="00BF0974" w:rsidRDefault="00B72B2E" w:rsidP="005D188A">
      <w:pPr>
        <w:pStyle w:val="Heading2"/>
        <w:rPr>
          <w:rFonts w:asciiTheme="minorHAnsi" w:hAnsiTheme="minorHAnsi" w:cs="Arial"/>
        </w:rPr>
      </w:pPr>
      <w:commentRangeStart w:id="24"/>
      <w:commentRangeStart w:id="25"/>
      <w:proofErr w:type="spellStart"/>
      <w:r>
        <w:rPr>
          <w:rFonts w:asciiTheme="minorHAnsi" w:hAnsiTheme="minorHAnsi" w:cs="Arial"/>
        </w:rPr>
        <w:t>Woodgreen</w:t>
      </w:r>
      <w:proofErr w:type="spellEnd"/>
      <w:r>
        <w:rPr>
          <w:rFonts w:asciiTheme="minorHAnsi" w:hAnsiTheme="minorHAnsi" w:cs="Arial"/>
        </w:rPr>
        <w:t xml:space="preserve"> Homeward Bound (Toronto, Canada)</w:t>
      </w:r>
      <w:commentRangeEnd w:id="24"/>
      <w:r w:rsidR="007530EB">
        <w:rPr>
          <w:rStyle w:val="CommentReference"/>
          <w:rFonts w:asciiTheme="minorHAnsi" w:eastAsiaTheme="minorEastAsia" w:hAnsiTheme="minorHAnsi" w:cstheme="minorBidi"/>
          <w:b w:val="0"/>
          <w:bCs w:val="0"/>
          <w:color w:val="auto"/>
        </w:rPr>
        <w:commentReference w:id="24"/>
      </w:r>
      <w:commentRangeEnd w:id="25"/>
      <w:r w:rsidR="00F63456">
        <w:rPr>
          <w:rStyle w:val="CommentReference"/>
          <w:rFonts w:asciiTheme="minorHAnsi" w:eastAsiaTheme="minorEastAsia" w:hAnsiTheme="minorHAnsi" w:cstheme="minorBidi"/>
          <w:b w:val="0"/>
          <w:bCs w:val="0"/>
          <w:color w:val="auto"/>
        </w:rPr>
        <w:commentReference w:id="25"/>
      </w:r>
    </w:p>
    <w:p w14:paraId="04BCA5E1" w14:textId="2D2486FA" w:rsidR="005D188A" w:rsidRDefault="007530EB" w:rsidP="005D188A">
      <w:proofErr w:type="spellStart"/>
      <w:r w:rsidRPr="007530EB">
        <w:t>WoodGreen</w:t>
      </w:r>
      <w:proofErr w:type="spellEnd"/>
      <w:r w:rsidRPr="007530EB">
        <w:t xml:space="preserve"> is one of the largest social service agencies in Toronto, delivering integrated programs from physical, mental health, and disability services to affordable housing and pathways to employment for homeless. Dentons supports program participants with pre-college coaching, resume, and interviewing preparation and provides employment opportunities to program participants pursuing law firm careers.</w:t>
      </w:r>
    </w:p>
    <w:p w14:paraId="5434638E" w14:textId="77777777" w:rsidR="005D188A" w:rsidRDefault="005D188A" w:rsidP="005D188A">
      <w:r>
        <w:t>________________________________________________________________________________</w:t>
      </w:r>
    </w:p>
    <w:p w14:paraId="49C4D8E5" w14:textId="2DC058B6" w:rsidR="00DF662A" w:rsidRDefault="005D188A">
      <w:r>
        <w:t xml:space="preserve">→ </w:t>
      </w:r>
      <w:r w:rsidR="007530EB">
        <w:t xml:space="preserve">Why It Fits: A healthy and sustainable community consists of </w:t>
      </w:r>
      <w:r w:rsidR="009A6312">
        <w:t xml:space="preserve">stable individuals whose core necessities are met. </w:t>
      </w:r>
      <w:proofErr w:type="spellStart"/>
      <w:r w:rsidR="009A6312">
        <w:t>Woodgreen’s</w:t>
      </w:r>
      <w:proofErr w:type="spellEnd"/>
      <w:r w:rsidR="009A6312">
        <w:t xml:space="preserve"> mission of enhancing self-sufficiency, promoting well-being, and reducing poverty</w:t>
      </w:r>
      <w:r w:rsidR="00F63456">
        <w:t xml:space="preserve"> meet these core necessities that allow individuals to thrive. In return, communities also </w:t>
      </w:r>
      <w:proofErr w:type="gramStart"/>
      <w:r w:rsidR="00F63456">
        <w:t>thrive as a whole</w:t>
      </w:r>
      <w:proofErr w:type="gramEnd"/>
      <w:r w:rsidR="000614B2">
        <w:t>. B</w:t>
      </w:r>
      <w:r w:rsidR="009A6312">
        <w:t>y offering employment guidance.</w:t>
      </w:r>
      <w:r w:rsidR="00F63456">
        <w:t xml:space="preserve"> Dentons supports this vision by providing employment guidance. </w:t>
      </w:r>
    </w:p>
    <w:p w14:paraId="351E187D" w14:textId="1FEFFB7F" w:rsidR="007A1FC0" w:rsidRDefault="007A1FC0" w:rsidP="007A1FC0">
      <w:pPr>
        <w:pStyle w:val="Heading2"/>
        <w:rPr>
          <w:rFonts w:asciiTheme="minorHAnsi" w:hAnsiTheme="minorHAnsi" w:cs="Arial"/>
        </w:rPr>
      </w:pPr>
      <w:commentRangeStart w:id="26"/>
      <w:commentRangeStart w:id="27"/>
      <w:r>
        <w:rPr>
          <w:rFonts w:asciiTheme="minorHAnsi" w:hAnsiTheme="minorHAnsi" w:cs="Arial"/>
        </w:rPr>
        <w:t>United Way Greater Toronto: Inclusive Local Economic Opportunity (</w:t>
      </w:r>
      <w:proofErr w:type="gramStart"/>
      <w:r>
        <w:rPr>
          <w:rFonts w:asciiTheme="minorHAnsi" w:hAnsiTheme="minorHAnsi" w:cs="Arial"/>
        </w:rPr>
        <w:t>ILEO)  &amp;</w:t>
      </w:r>
      <w:proofErr w:type="gramEnd"/>
      <w:r>
        <w:rPr>
          <w:rFonts w:asciiTheme="minorHAnsi" w:hAnsiTheme="minorHAnsi" w:cs="Arial"/>
        </w:rPr>
        <w:t xml:space="preserve"> The Initiative Corporate Charter (Toronto, Canada) </w:t>
      </w:r>
      <w:commentRangeEnd w:id="26"/>
      <w:r w:rsidR="00B33922">
        <w:rPr>
          <w:rStyle w:val="CommentReference"/>
          <w:rFonts w:asciiTheme="minorHAnsi" w:eastAsiaTheme="minorEastAsia" w:hAnsiTheme="minorHAnsi" w:cstheme="minorBidi"/>
          <w:b w:val="0"/>
          <w:bCs w:val="0"/>
          <w:color w:val="auto"/>
        </w:rPr>
        <w:commentReference w:id="26"/>
      </w:r>
      <w:commentRangeEnd w:id="27"/>
      <w:r w:rsidR="00C82F56">
        <w:rPr>
          <w:rStyle w:val="CommentReference"/>
          <w:rFonts w:asciiTheme="minorHAnsi" w:eastAsiaTheme="minorEastAsia" w:hAnsiTheme="minorHAnsi" w:cstheme="minorBidi"/>
          <w:b w:val="0"/>
          <w:bCs w:val="0"/>
          <w:color w:val="auto"/>
        </w:rPr>
        <w:commentReference w:id="27"/>
      </w:r>
    </w:p>
    <w:p w14:paraId="31814B30" w14:textId="5BBB0BB3" w:rsidR="007A1FC0" w:rsidRPr="007A1FC0" w:rsidRDefault="007A1FC0" w:rsidP="007A1FC0">
      <w:r>
        <w:t>United Way Greater Toronto is a non-profit organization (NGO) that combats local poverty and its interconnected challen</w:t>
      </w:r>
      <w:r w:rsidR="00BA2B37">
        <w:t>ges</w:t>
      </w:r>
      <w:r>
        <w:t xml:space="preserve">. </w:t>
      </w:r>
      <w:r w:rsidR="00BA2B37">
        <w:t xml:space="preserve">As a sub-group, the ILEO Corporate Charter gathers private, public, and community sectors to configure innovative solutions to reduce gaps in economic prosperity. The ILEO is focused on the Greater Golden Mile (GGM) to grant opportunities </w:t>
      </w:r>
      <w:r w:rsidR="00A90317">
        <w:t>for people and businesses amongst this vulnerable community. As a Charter Member, Dentons has granted opportunities by replacing the Toronto office’s vendors and supplies to those from the GGM district.</w:t>
      </w:r>
    </w:p>
    <w:p w14:paraId="5E9E3B0A" w14:textId="77777777" w:rsidR="007A1FC0" w:rsidRDefault="007A1FC0" w:rsidP="007A1FC0">
      <w:r>
        <w:t>________________________________________________________________________________</w:t>
      </w:r>
    </w:p>
    <w:p w14:paraId="774BE158" w14:textId="03741C20" w:rsidR="007A1FC0" w:rsidRDefault="007A1FC0" w:rsidP="007A1FC0">
      <w:r>
        <w:t xml:space="preserve">→ Why It Fits: </w:t>
      </w:r>
      <w:r w:rsidR="00A90317">
        <w:t xml:space="preserve">A community’s maintenance, like the Greater Golden Mile, depends on economic prosperity. Dentons </w:t>
      </w:r>
      <w:r w:rsidR="00B33922">
        <w:t xml:space="preserve">promotes this maintenance by creating employment opportunities amongst businesses as vendors and suppliers. </w:t>
      </w:r>
    </w:p>
    <w:p w14:paraId="2D311890" w14:textId="77777777" w:rsidR="007A1FC0" w:rsidRDefault="007A1FC0"/>
    <w:p w14:paraId="1FC193F9" w14:textId="77777777" w:rsidR="00DF662A" w:rsidRPr="00793EDB" w:rsidRDefault="00280C3C">
      <w:pPr>
        <w:pStyle w:val="Heading1"/>
        <w:rPr>
          <w:rFonts w:ascii="Arial" w:hAnsi="Arial" w:cs="Arial"/>
          <w:color w:val="FF9933"/>
        </w:rPr>
      </w:pPr>
      <w:r w:rsidRPr="00793EDB">
        <w:rPr>
          <w:rFonts w:ascii="Arial" w:hAnsi="Arial" w:cs="Arial"/>
          <w:color w:val="FF9933"/>
        </w:rPr>
        <w:lastRenderedPageBreak/>
        <w:t>Gender Equality</w:t>
      </w:r>
    </w:p>
    <w:p w14:paraId="60567592" w14:textId="77777777" w:rsidR="00DF662A" w:rsidRDefault="00280C3C">
      <w:r>
        <w:t>We promote equal rights and opportunities for all, regardless of gender.</w:t>
      </w:r>
    </w:p>
    <w:p w14:paraId="18A39DDB" w14:textId="1892B802" w:rsidR="00CD7C2D" w:rsidRPr="00BF0974" w:rsidRDefault="00A5148E" w:rsidP="00CD7C2D">
      <w:pPr>
        <w:pStyle w:val="Heading2"/>
        <w:rPr>
          <w:rFonts w:asciiTheme="minorHAnsi" w:hAnsiTheme="minorHAnsi" w:cs="Arial"/>
        </w:rPr>
      </w:pPr>
      <w:commentRangeStart w:id="28"/>
      <w:r w:rsidRPr="00A5148E">
        <w:rPr>
          <w:rFonts w:asciiTheme="minorHAnsi" w:hAnsiTheme="minorHAnsi" w:cs="Arial"/>
        </w:rPr>
        <w:t>Saskatchewan v. UR Pride</w:t>
      </w:r>
      <w:r>
        <w:rPr>
          <w:rFonts w:asciiTheme="minorHAnsi" w:hAnsiTheme="minorHAnsi" w:cs="Arial"/>
        </w:rPr>
        <w:t xml:space="preserve"> &amp; The </w:t>
      </w:r>
      <w:r w:rsidR="00CD7C2D" w:rsidRPr="00CD7C2D">
        <w:rPr>
          <w:rFonts w:asciiTheme="minorHAnsi" w:hAnsiTheme="minorHAnsi" w:cs="Arial"/>
        </w:rPr>
        <w:t>Legal Education and Action</w:t>
      </w:r>
      <w:r w:rsidR="00CD7C2D">
        <w:rPr>
          <w:rFonts w:asciiTheme="minorHAnsi" w:hAnsiTheme="minorHAnsi" w:cs="Arial"/>
        </w:rPr>
        <w:t xml:space="preserve"> </w:t>
      </w:r>
      <w:r w:rsidR="00CD7C2D" w:rsidRPr="00CD7C2D">
        <w:rPr>
          <w:rFonts w:asciiTheme="minorHAnsi" w:hAnsiTheme="minorHAnsi" w:cs="Arial"/>
        </w:rPr>
        <w:t xml:space="preserve">Fund </w:t>
      </w:r>
      <w:r w:rsidR="00CD7C2D">
        <w:rPr>
          <w:rFonts w:asciiTheme="minorHAnsi" w:hAnsiTheme="minorHAnsi" w:cs="Arial"/>
        </w:rPr>
        <w:t>(LEAF)</w:t>
      </w:r>
      <w:commentRangeEnd w:id="28"/>
      <w:r w:rsidR="00AE2CCE">
        <w:rPr>
          <w:rStyle w:val="CommentReference"/>
          <w:rFonts w:asciiTheme="minorHAnsi" w:eastAsiaTheme="minorEastAsia" w:hAnsiTheme="minorHAnsi" w:cstheme="minorBidi"/>
          <w:b w:val="0"/>
          <w:bCs w:val="0"/>
          <w:color w:val="auto"/>
        </w:rPr>
        <w:commentReference w:id="28"/>
      </w:r>
      <w:r w:rsidR="00AE2CCE">
        <w:rPr>
          <w:rFonts w:asciiTheme="minorHAnsi" w:hAnsiTheme="minorHAnsi" w:cs="Arial"/>
        </w:rPr>
        <w:t xml:space="preserve"> (Vancouver, Canada)</w:t>
      </w:r>
    </w:p>
    <w:p w14:paraId="57EB997F" w14:textId="04E7F380" w:rsidR="00CD7C2D" w:rsidRDefault="00A5148E" w:rsidP="00CD7C2D">
      <w:r>
        <w:t xml:space="preserve">LEAF is a national charitable organization that works towards ensuring the law guarantees substantive equality for all women, girls, trans, and non-binary people. Dentons is acting on behalf of LEAF </w:t>
      </w:r>
      <w:r w:rsidR="0018659B">
        <w:t xml:space="preserve">to challenge the </w:t>
      </w:r>
      <w:r w:rsidR="0018659B" w:rsidRPr="0018659B">
        <w:t>Saskatchewan government</w:t>
      </w:r>
      <w:r w:rsidR="0018659B">
        <w:t xml:space="preserve">’s policy of only permitting </w:t>
      </w:r>
      <w:r w:rsidR="0018659B" w:rsidRPr="0018659B">
        <w:t>school personnel to refer to a</w:t>
      </w:r>
      <w:r w:rsidR="0018659B">
        <w:t>s</w:t>
      </w:r>
      <w:r w:rsidR="0018659B" w:rsidRPr="0018659B">
        <w:t xml:space="preserve"> trans, non-binary, or gender-diverse student under the age of 16 by their proper name and pronouns if their parent consented. </w:t>
      </w:r>
      <w:r w:rsidR="0018659B">
        <w:t xml:space="preserve">Dentons is leading the intervention by assisting the court in its section 15 Charter analysis. </w:t>
      </w:r>
    </w:p>
    <w:p w14:paraId="046C8D29" w14:textId="77777777" w:rsidR="00CD7C2D" w:rsidRDefault="00CD7C2D" w:rsidP="00CD7C2D">
      <w:r>
        <w:t>________________________________________________________________________________</w:t>
      </w:r>
    </w:p>
    <w:p w14:paraId="53700036" w14:textId="20D3C660" w:rsidR="00CD7C2D" w:rsidRDefault="00CD7C2D" w:rsidP="00CD7C2D">
      <w:r>
        <w:t xml:space="preserve">→ Why It Fits: </w:t>
      </w:r>
      <w:r w:rsidR="0018659B">
        <w:t xml:space="preserve">UR Pride specifically argues that the policy challenged sections 7 (security of the person) and 15 (equality) Charter rights of trans, non-binary, and gender-diverse students under the age of 16. </w:t>
      </w:r>
      <w:r w:rsidR="00AE2CCE">
        <w:t xml:space="preserve">The policy violates the rights of security and equality to this group of vulnerable youth, and Dentons is advocating for their entitlements. </w:t>
      </w:r>
    </w:p>
    <w:p w14:paraId="55D33A2F" w14:textId="492889C5" w:rsidR="00562F5E" w:rsidRPr="00BF0974" w:rsidRDefault="00562F5E" w:rsidP="00562F5E">
      <w:pPr>
        <w:pStyle w:val="Heading2"/>
        <w:rPr>
          <w:rFonts w:asciiTheme="minorHAnsi" w:hAnsiTheme="minorHAnsi" w:cs="Arial"/>
        </w:rPr>
      </w:pPr>
      <w:commentRangeStart w:id="29"/>
      <w:commentRangeStart w:id="30"/>
      <w:commentRangeStart w:id="31"/>
      <w:r>
        <w:rPr>
          <w:rFonts w:asciiTheme="minorHAnsi" w:hAnsiTheme="minorHAnsi" w:cs="Arial"/>
        </w:rPr>
        <w:t>Older Women’s Network (OWN) (Sydney, Australia)</w:t>
      </w:r>
      <w:commentRangeEnd w:id="29"/>
      <w:r>
        <w:rPr>
          <w:rStyle w:val="CommentReference"/>
          <w:rFonts w:asciiTheme="minorHAnsi" w:eastAsiaTheme="minorEastAsia" w:hAnsiTheme="minorHAnsi" w:cstheme="minorBidi"/>
          <w:b w:val="0"/>
          <w:bCs w:val="0"/>
          <w:color w:val="auto"/>
        </w:rPr>
        <w:commentReference w:id="29"/>
      </w:r>
      <w:commentRangeEnd w:id="30"/>
      <w:r>
        <w:rPr>
          <w:rStyle w:val="CommentReference"/>
          <w:rFonts w:asciiTheme="minorHAnsi" w:eastAsiaTheme="minorEastAsia" w:hAnsiTheme="minorHAnsi" w:cstheme="minorBidi"/>
          <w:b w:val="0"/>
          <w:bCs w:val="0"/>
          <w:color w:val="auto"/>
        </w:rPr>
        <w:commentReference w:id="30"/>
      </w:r>
      <w:commentRangeEnd w:id="31"/>
      <w:r w:rsidR="00160F67">
        <w:rPr>
          <w:rStyle w:val="CommentReference"/>
          <w:rFonts w:asciiTheme="minorHAnsi" w:eastAsiaTheme="minorEastAsia" w:hAnsiTheme="minorHAnsi" w:cstheme="minorBidi"/>
          <w:b w:val="0"/>
          <w:bCs w:val="0"/>
          <w:color w:val="auto"/>
        </w:rPr>
        <w:commentReference w:id="31"/>
      </w:r>
    </w:p>
    <w:p w14:paraId="236BFCFC" w14:textId="45BD02BD" w:rsidR="00562F5E" w:rsidRDefault="007D54DA" w:rsidP="00562F5E">
      <w:r>
        <w:t xml:space="preserve">Dentons Australia partnered with the older Women’s network (OWN) to provide pro bono services and support employment pathways for older women in need. </w:t>
      </w:r>
      <w:r w:rsidRPr="007D54DA">
        <w:t>As part of a pilot program designed to help older women re-enter the workplace, Dentons has created a role for a woman over 50, with existing Dentons staff acting as mentors to ensure a smooth transition back into the workplace. In addition, Dentons will provide pro bono legal advice to women in need who are members of OWN.</w:t>
      </w:r>
    </w:p>
    <w:p w14:paraId="00D51635" w14:textId="77777777" w:rsidR="00562F5E" w:rsidRDefault="00562F5E" w:rsidP="00562F5E">
      <w:r>
        <w:t>________________________________________________________________________________</w:t>
      </w:r>
    </w:p>
    <w:p w14:paraId="09C1ADBF" w14:textId="5E2B4655" w:rsidR="00562F5E" w:rsidRDefault="00562F5E" w:rsidP="00562F5E">
      <w:r>
        <w:t xml:space="preserve">→ Why It Fits: </w:t>
      </w:r>
      <w:r w:rsidR="007D54DA" w:rsidRPr="007D54DA">
        <w:t xml:space="preserve">Socio-economic status and gender norms </w:t>
      </w:r>
      <w:r w:rsidR="007D54DA">
        <w:t xml:space="preserve">signify </w:t>
      </w:r>
      <w:r w:rsidR="007D54DA" w:rsidRPr="007D54DA">
        <w:t xml:space="preserve">that </w:t>
      </w:r>
      <w:r w:rsidR="007D54DA">
        <w:t>elderly</w:t>
      </w:r>
      <w:r w:rsidR="007D54DA" w:rsidRPr="007D54DA">
        <w:t xml:space="preserve"> women often have lower salaries, savings</w:t>
      </w:r>
      <w:r w:rsidR="007D54DA">
        <w:t>,</w:t>
      </w:r>
      <w:r w:rsidR="007D54DA" w:rsidRPr="007D54DA">
        <w:t xml:space="preserve"> and superannuation than men. They also</w:t>
      </w:r>
      <w:r w:rsidR="007D54DA">
        <w:t xml:space="preserve"> accept</w:t>
      </w:r>
      <w:r w:rsidR="007D54DA" w:rsidRPr="007D54DA">
        <w:t xml:space="preserve"> the majority of caring and reproductive </w:t>
      </w:r>
      <w:proofErr w:type="gramStart"/>
      <w:r w:rsidR="007D54DA" w:rsidRPr="007D54DA">
        <w:t>responsibilities</w:t>
      </w:r>
      <w:r w:rsidR="00C73FB1">
        <w:t>,</w:t>
      </w:r>
      <w:r w:rsidR="007D54DA" w:rsidRPr="007D54DA">
        <w:t xml:space="preserve"> and</w:t>
      </w:r>
      <w:proofErr w:type="gramEnd"/>
      <w:r w:rsidR="007D54DA" w:rsidRPr="007D54DA">
        <w:t xml:space="preserve"> are more likely to experience violence.</w:t>
      </w:r>
      <w:r w:rsidR="00C73FB1">
        <w:t xml:space="preserve"> Considering </w:t>
      </w:r>
      <w:r w:rsidR="007D54DA" w:rsidRPr="007D54DA">
        <w:t>risk factors like the death of a partner, divorce, illness or injury,</w:t>
      </w:r>
      <w:r w:rsidR="00C73FB1">
        <w:t xml:space="preserve"> numerous</w:t>
      </w:r>
      <w:r w:rsidR="007D54DA" w:rsidRPr="007D54DA">
        <w:t xml:space="preserve"> women are suddenly at risk of homelessness.</w:t>
      </w:r>
      <w:r w:rsidR="00C73FB1">
        <w:t xml:space="preserve"> </w:t>
      </w:r>
      <w:r w:rsidR="00C73FB1" w:rsidRPr="00C73FB1">
        <w:t>By partnering with OWN to provide pathways to employment and access to justice for older women, Dentons not only aims to help reduce women’s homelessness, but reinforce its commitment to gender equity and community.</w:t>
      </w:r>
    </w:p>
    <w:p w14:paraId="7855FEDE" w14:textId="77777777" w:rsidR="00DF662A" w:rsidRDefault="00DF662A"/>
    <w:p w14:paraId="161F8FCD" w14:textId="77777777" w:rsidR="00DF662A" w:rsidRPr="00793EDB" w:rsidRDefault="00280C3C">
      <w:pPr>
        <w:pStyle w:val="Heading1"/>
        <w:rPr>
          <w:rFonts w:ascii="Arial" w:hAnsi="Arial" w:cs="Arial"/>
          <w:color w:val="43B02A"/>
        </w:rPr>
      </w:pPr>
      <w:r w:rsidRPr="00793EDB">
        <w:rPr>
          <w:rFonts w:ascii="Arial" w:hAnsi="Arial" w:cs="Arial"/>
          <w:color w:val="43B02A"/>
        </w:rPr>
        <w:t>Environment</w:t>
      </w:r>
    </w:p>
    <w:p w14:paraId="53DC5668" w14:textId="77777777" w:rsidR="00DF662A" w:rsidRDefault="00280C3C">
      <w:r>
        <w:t>We invest in the stewardship, protection and resilience of our natural environment.</w:t>
      </w:r>
    </w:p>
    <w:p w14:paraId="46EBB0B1" w14:textId="0D933A3E" w:rsidR="00DF662A" w:rsidRPr="00BF0974" w:rsidRDefault="004E1581">
      <w:pPr>
        <w:pStyle w:val="Heading2"/>
        <w:rPr>
          <w:rFonts w:asciiTheme="minorHAnsi" w:hAnsiTheme="minorHAnsi" w:cs="Arial"/>
        </w:rPr>
      </w:pPr>
      <w:commentRangeStart w:id="32"/>
      <w:r>
        <w:rPr>
          <w:rFonts w:asciiTheme="minorHAnsi" w:hAnsiTheme="minorHAnsi" w:cs="Arial"/>
        </w:rPr>
        <w:lastRenderedPageBreak/>
        <w:t xml:space="preserve">The Green Transition Fund &amp; New York Lawyers for the Public Interest (NYLPI) </w:t>
      </w:r>
      <w:r w:rsidR="00087D64">
        <w:rPr>
          <w:rFonts w:asciiTheme="minorHAnsi" w:hAnsiTheme="minorHAnsi" w:cs="Arial"/>
        </w:rPr>
        <w:t xml:space="preserve">(New York, New York) </w:t>
      </w:r>
      <w:commentRangeEnd w:id="32"/>
      <w:r w:rsidR="00087D64">
        <w:rPr>
          <w:rStyle w:val="CommentReference"/>
          <w:rFonts w:asciiTheme="minorHAnsi" w:eastAsiaTheme="minorEastAsia" w:hAnsiTheme="minorHAnsi" w:cstheme="minorBidi"/>
          <w:b w:val="0"/>
          <w:bCs w:val="0"/>
          <w:color w:val="auto"/>
        </w:rPr>
        <w:commentReference w:id="32"/>
      </w:r>
    </w:p>
    <w:p w14:paraId="5AE65921" w14:textId="6F3FD0AA" w:rsidR="00DF662A" w:rsidRDefault="00087D64">
      <w:r>
        <w:t xml:space="preserve">Dentons’s has </w:t>
      </w:r>
      <w:r w:rsidR="00FF62F2">
        <w:t xml:space="preserve">sustained a long-withstanding partnership with </w:t>
      </w:r>
      <w:proofErr w:type="gramStart"/>
      <w:r>
        <w:t>NYLPI</w:t>
      </w:r>
      <w:r w:rsidR="00FF62F2">
        <w:t xml:space="preserve">, </w:t>
      </w:r>
      <w:r>
        <w:t xml:space="preserve"> a</w:t>
      </w:r>
      <w:proofErr w:type="gramEnd"/>
      <w:r>
        <w:t xml:space="preserve"> pro bono clearinghouse</w:t>
      </w:r>
      <w:r w:rsidR="00FF62F2">
        <w:t xml:space="preserve">, to collaborate with </w:t>
      </w:r>
      <w:r>
        <w:t>lawyers, community organizers, policy makers, and advocates on environmental and social justice issues</w:t>
      </w:r>
      <w:r w:rsidR="00FF62F2">
        <w:t xml:space="preserve">. With Dentons’ assistance with conducting research and managing funds, the establishment of the Green Transition Fund finances for-hire drivers to convert their gas-operated vehicles to electric vehicles. </w:t>
      </w:r>
    </w:p>
    <w:p w14:paraId="51F6373B" w14:textId="77777777" w:rsidR="00DF662A" w:rsidRDefault="00280C3C">
      <w:r>
        <w:t>________________________________________________________________________________</w:t>
      </w:r>
    </w:p>
    <w:p w14:paraId="6DB1B004" w14:textId="2CD9AB1F" w:rsidR="00DF662A" w:rsidRDefault="00280C3C">
      <w:r>
        <w:t xml:space="preserve">→ </w:t>
      </w:r>
      <w:r w:rsidR="00FF62F2">
        <w:t xml:space="preserve">Why It Fits: </w:t>
      </w:r>
      <w:r w:rsidR="00150CC8">
        <w:t xml:space="preserve">The program represents how targeted investment can facilitate the replacement of fossil fuels to innovative and renewable energy. By implementing renewable energy practices, a safeguard on our natural environment is strengthened. </w:t>
      </w:r>
    </w:p>
    <w:p w14:paraId="1A6C5D40" w14:textId="771D2615" w:rsidR="002A437E" w:rsidRPr="00BF0974" w:rsidRDefault="002A437E" w:rsidP="002A437E">
      <w:pPr>
        <w:pStyle w:val="Heading2"/>
        <w:rPr>
          <w:rFonts w:asciiTheme="minorHAnsi" w:hAnsiTheme="minorHAnsi" w:cs="Arial"/>
        </w:rPr>
      </w:pPr>
      <w:commentRangeStart w:id="33"/>
      <w:r>
        <w:rPr>
          <w:rFonts w:asciiTheme="minorHAnsi" w:hAnsiTheme="minorHAnsi" w:cs="Arial"/>
        </w:rPr>
        <w:t xml:space="preserve">The </w:t>
      </w:r>
      <w:proofErr w:type="spellStart"/>
      <w:r>
        <w:rPr>
          <w:rFonts w:asciiTheme="minorHAnsi" w:hAnsiTheme="minorHAnsi" w:cs="Arial"/>
        </w:rPr>
        <w:t>GridWise</w:t>
      </w:r>
      <w:proofErr w:type="spellEnd"/>
      <w:r>
        <w:rPr>
          <w:rFonts w:asciiTheme="minorHAnsi" w:hAnsiTheme="minorHAnsi" w:cs="Arial"/>
        </w:rPr>
        <w:t xml:space="preserve"> Alliance </w:t>
      </w:r>
      <w:r w:rsidR="00DC212D">
        <w:rPr>
          <w:rFonts w:asciiTheme="minorHAnsi" w:hAnsiTheme="minorHAnsi" w:cs="Arial"/>
        </w:rPr>
        <w:t>(Washington, District of Columbia)</w:t>
      </w:r>
      <w:commentRangeEnd w:id="33"/>
      <w:r w:rsidR="00DC212D">
        <w:rPr>
          <w:rStyle w:val="CommentReference"/>
          <w:rFonts w:asciiTheme="minorHAnsi" w:eastAsiaTheme="minorEastAsia" w:hAnsiTheme="minorHAnsi" w:cstheme="minorBidi"/>
          <w:b w:val="0"/>
          <w:bCs w:val="0"/>
          <w:color w:val="auto"/>
        </w:rPr>
        <w:commentReference w:id="33"/>
      </w:r>
    </w:p>
    <w:p w14:paraId="32130543" w14:textId="47DB8733" w:rsidR="00DC212D" w:rsidRDefault="00DC212D" w:rsidP="002A437E">
      <w:r>
        <w:t xml:space="preserve">The </w:t>
      </w:r>
      <w:proofErr w:type="spellStart"/>
      <w:r>
        <w:t>GridWise</w:t>
      </w:r>
      <w:proofErr w:type="spellEnd"/>
      <w:r>
        <w:t xml:space="preserve"> Alliance aims to accelerate the innovation of a more reliable, secure, resilient and affordable grid – necessary for energy security and decarbonization. Under Dentons’ U.S. Energy practice, the team has played an instrumental role in establishing </w:t>
      </w:r>
      <w:proofErr w:type="spellStart"/>
      <w:r>
        <w:t>GridWise</w:t>
      </w:r>
      <w:proofErr w:type="spellEnd"/>
      <w:r>
        <w:t xml:space="preserve"> as</w:t>
      </w:r>
      <w:r w:rsidR="00BE6ECD">
        <w:t xml:space="preserve"> an operational nonprofit – from establishing internal bylaws, policies and procedures, or handling key governance and regulatory matters. </w:t>
      </w:r>
    </w:p>
    <w:p w14:paraId="680C296D" w14:textId="77777777" w:rsidR="002A437E" w:rsidRDefault="002A437E" w:rsidP="002A437E">
      <w:r>
        <w:t>________________________________________________________________________________</w:t>
      </w:r>
    </w:p>
    <w:p w14:paraId="359E1855" w14:textId="37E586D9" w:rsidR="002A437E" w:rsidRDefault="002A437E" w:rsidP="002A437E">
      <w:r>
        <w:t xml:space="preserve">→ Why It Fits: </w:t>
      </w:r>
      <w:r w:rsidR="00BE6ECD">
        <w:t xml:space="preserve">Dentons constructed a stable governance structure for the </w:t>
      </w:r>
      <w:proofErr w:type="spellStart"/>
      <w:r w:rsidR="00BE6ECD">
        <w:t>GridWise</w:t>
      </w:r>
      <w:proofErr w:type="spellEnd"/>
      <w:r w:rsidR="00BE6ECD">
        <w:t xml:space="preserve"> Alliance, which serves as a backbone allowing the organization to securely pursue </w:t>
      </w:r>
      <w:proofErr w:type="spellStart"/>
      <w:r w:rsidR="00BE6ECD">
        <w:t>it’s</w:t>
      </w:r>
      <w:proofErr w:type="spellEnd"/>
      <w:r w:rsidR="00BE6ECD">
        <w:t xml:space="preserve"> environmental-based objective: modernizing the power grid to reduce carbon emissions at scale. By contributing to the construction of the organization’s backbone, Dentons’ is </w:t>
      </w:r>
      <w:r w:rsidR="00205F50">
        <w:t xml:space="preserve">promoting the preservation of our natural environment. </w:t>
      </w:r>
    </w:p>
    <w:p w14:paraId="6BB367A3" w14:textId="0357BC64" w:rsidR="00205F50" w:rsidRPr="00BF0974" w:rsidRDefault="00205F50" w:rsidP="00205F50">
      <w:pPr>
        <w:pStyle w:val="Heading2"/>
        <w:rPr>
          <w:rFonts w:asciiTheme="minorHAnsi" w:hAnsiTheme="minorHAnsi" w:cs="Arial"/>
        </w:rPr>
      </w:pPr>
      <w:commentRangeStart w:id="34"/>
      <w:commentRangeStart w:id="35"/>
      <w:r>
        <w:rPr>
          <w:rFonts w:asciiTheme="minorHAnsi" w:hAnsiTheme="minorHAnsi" w:cs="Arial"/>
        </w:rPr>
        <w:t xml:space="preserve">The </w:t>
      </w:r>
      <w:r w:rsidR="00817832">
        <w:rPr>
          <w:rFonts w:asciiTheme="minorHAnsi" w:hAnsiTheme="minorHAnsi" w:cs="Arial"/>
        </w:rPr>
        <w:t xml:space="preserve">Alliance to Save Energy (ASE) (Washington, District of Columbia) </w:t>
      </w:r>
      <w:commentRangeEnd w:id="34"/>
      <w:r w:rsidR="008A4098">
        <w:rPr>
          <w:rStyle w:val="CommentReference"/>
          <w:rFonts w:asciiTheme="minorHAnsi" w:eastAsiaTheme="minorEastAsia" w:hAnsiTheme="minorHAnsi" w:cstheme="minorBidi"/>
          <w:b w:val="0"/>
          <w:bCs w:val="0"/>
          <w:color w:val="auto"/>
        </w:rPr>
        <w:commentReference w:id="34"/>
      </w:r>
      <w:commentRangeEnd w:id="35"/>
      <w:r w:rsidR="008A4098">
        <w:rPr>
          <w:rStyle w:val="CommentReference"/>
          <w:rFonts w:asciiTheme="minorHAnsi" w:eastAsiaTheme="minorEastAsia" w:hAnsiTheme="minorHAnsi" w:cstheme="minorBidi"/>
          <w:b w:val="0"/>
          <w:bCs w:val="0"/>
          <w:color w:val="auto"/>
        </w:rPr>
        <w:commentReference w:id="35"/>
      </w:r>
    </w:p>
    <w:p w14:paraId="5C9BC53C" w14:textId="7343DB9C" w:rsidR="00205F50" w:rsidRDefault="00205F50" w:rsidP="00205F50">
      <w:r>
        <w:t>The</w:t>
      </w:r>
      <w:r w:rsidR="00443B66">
        <w:t xml:space="preserve"> Alliance to Save Energy promotes the efficient and clean use of energy worldwide to benefit consumers, the environment, the economy, and national security</w:t>
      </w:r>
      <w:r w:rsidR="00BD292D">
        <w:t xml:space="preserve">. With Dentons serving as pro bono counsel to ASE, providing legal services and direct financial support, Dentons lawyers have provided expertise in environmental projects like the Energy Insecurity Initiative (EII). EII aims to examine the causes and configure responses to energy insecurity, </w:t>
      </w:r>
      <w:r w:rsidR="00B24E08">
        <w:t xml:space="preserve">which is a household’s inability to meet basic energy needs. </w:t>
      </w:r>
    </w:p>
    <w:p w14:paraId="5EEA73B9" w14:textId="77777777" w:rsidR="00205F50" w:rsidRDefault="00205F50" w:rsidP="00205F50">
      <w:r>
        <w:t>________________________________________________________________________________</w:t>
      </w:r>
    </w:p>
    <w:p w14:paraId="636673BF" w14:textId="3D4E1D7C" w:rsidR="00205F50" w:rsidRDefault="00205F50" w:rsidP="00205F50">
      <w:r>
        <w:t xml:space="preserve">→ Why It Fits: </w:t>
      </w:r>
      <w:r w:rsidR="00B24E08">
        <w:t xml:space="preserve">Instead of heavily depending on fossil fuels, the transition to electricity maximizes the use of renewable energy. Yet, maximizing electricity use can strain the electric grid and intensify energy insecurity. Dentons’ research with ASE seeks to provide a resolution based on energy efficiency. With this research, the movement towards renewable energy and the stewardship of our natural environment is </w:t>
      </w:r>
      <w:r w:rsidR="008A4098">
        <w:t xml:space="preserve">reinforced without negative side effects. </w:t>
      </w:r>
    </w:p>
    <w:p w14:paraId="68850296" w14:textId="4DC989C3" w:rsidR="00F50750" w:rsidRPr="00BF0974" w:rsidRDefault="00F50750" w:rsidP="00F50750">
      <w:pPr>
        <w:pStyle w:val="Heading2"/>
        <w:rPr>
          <w:rFonts w:asciiTheme="minorHAnsi" w:hAnsiTheme="minorHAnsi" w:cs="Arial"/>
        </w:rPr>
      </w:pPr>
      <w:commentRangeStart w:id="36"/>
      <w:r>
        <w:rPr>
          <w:rFonts w:asciiTheme="minorHAnsi" w:hAnsiTheme="minorHAnsi" w:cs="Arial"/>
        </w:rPr>
        <w:lastRenderedPageBreak/>
        <w:t>Decarbonization &amp; the UK’s Department for Environment, Food and Rural Affairs (DERFA)</w:t>
      </w:r>
      <w:r w:rsidRPr="00BF0974">
        <w:rPr>
          <w:rFonts w:asciiTheme="minorHAnsi" w:hAnsiTheme="minorHAnsi" w:cs="Arial"/>
        </w:rPr>
        <w:t xml:space="preserve"> </w:t>
      </w:r>
      <w:commentRangeEnd w:id="36"/>
      <w:r w:rsidR="009250E7">
        <w:rPr>
          <w:rStyle w:val="CommentReference"/>
          <w:rFonts w:asciiTheme="minorHAnsi" w:eastAsiaTheme="minorEastAsia" w:hAnsiTheme="minorHAnsi" w:cstheme="minorBidi"/>
          <w:b w:val="0"/>
          <w:bCs w:val="0"/>
          <w:color w:val="auto"/>
        </w:rPr>
        <w:commentReference w:id="36"/>
      </w:r>
      <w:r w:rsidR="00A37282">
        <w:rPr>
          <w:rFonts w:asciiTheme="minorHAnsi" w:hAnsiTheme="minorHAnsi" w:cs="Arial"/>
        </w:rPr>
        <w:t>(United Kingdom)</w:t>
      </w:r>
    </w:p>
    <w:p w14:paraId="51C1263C" w14:textId="4C3DC5AC" w:rsidR="00F50750" w:rsidRDefault="00F50750" w:rsidP="00F50750">
      <w:r>
        <w:t xml:space="preserve">To reduce emissions created directly by how Dentons UK executes business, firms adjusted the delivery of their legal services in a </w:t>
      </w:r>
      <w:r w:rsidR="00960E42">
        <w:t>p</w:t>
      </w:r>
      <w:r w:rsidR="00960E42" w:rsidRPr="00960E42">
        <w:t>ilot project to meet the "net zero or low carbon" objectives for HMG's DEFRA. With DEFRA Legal Advisors (DLA), our approach to reduce emissions encompassed a strategy to reduce the consumption of resources like paper to minimize waste. Our collaboration has established a model for offering "net zero/</w:t>
      </w:r>
      <w:proofErr w:type="gramStart"/>
      <w:r w:rsidR="00960E42" w:rsidRPr="00960E42">
        <w:t>low-carbon</w:t>
      </w:r>
      <w:proofErr w:type="gramEnd"/>
      <w:r w:rsidR="00960E42" w:rsidRPr="00960E42">
        <w:t>" legal services to more clients.</w:t>
      </w:r>
    </w:p>
    <w:p w14:paraId="79E49B4B" w14:textId="77777777" w:rsidR="00F50750" w:rsidRDefault="00F50750" w:rsidP="00F50750">
      <w:r>
        <w:t>________________________________________________________________________________</w:t>
      </w:r>
    </w:p>
    <w:p w14:paraId="522681BC" w14:textId="28A2EAA4" w:rsidR="00F50750" w:rsidRDefault="00F50750" w:rsidP="00F50750">
      <w:r>
        <w:t xml:space="preserve">→ Why It Fits:  </w:t>
      </w:r>
      <w:r w:rsidR="009006F4">
        <w:t xml:space="preserve">By committing to these adjustments, Dentons UK </w:t>
      </w:r>
      <w:r w:rsidR="00DF3D69">
        <w:t xml:space="preserve">saved </w:t>
      </w:r>
      <w:r w:rsidR="009006F4" w:rsidRPr="009006F4">
        <w:t>circa 120 kgC02e, equivalent to 14,597 smartphones charged, of emissions.</w:t>
      </w:r>
      <w:r w:rsidR="00DF3D69">
        <w:t xml:space="preserve"> </w:t>
      </w:r>
      <w:proofErr w:type="gramStart"/>
      <w:r w:rsidR="00057DAA">
        <w:t>E</w:t>
      </w:r>
      <w:r w:rsidR="00DF3D69">
        <w:t>nvironmentally-conscious</w:t>
      </w:r>
      <w:proofErr w:type="gramEnd"/>
      <w:r w:rsidR="00DF3D69">
        <w:t xml:space="preserve"> changes to everyday practices </w:t>
      </w:r>
      <w:r w:rsidR="009250E7">
        <w:t xml:space="preserve">contributes to the overall reduction of greenhouse gases into the atmosphere, which mitigates the severity of climate change. </w:t>
      </w:r>
    </w:p>
    <w:p w14:paraId="72F686CA" w14:textId="727ED070" w:rsidR="00057DAA" w:rsidRPr="00BF0974" w:rsidRDefault="00057DAA" w:rsidP="00057DAA">
      <w:pPr>
        <w:pStyle w:val="Heading2"/>
        <w:rPr>
          <w:rFonts w:asciiTheme="minorHAnsi" w:hAnsiTheme="minorHAnsi" w:cs="Arial"/>
        </w:rPr>
      </w:pPr>
      <w:commentRangeStart w:id="37"/>
      <w:r>
        <w:rPr>
          <w:rFonts w:asciiTheme="minorHAnsi" w:hAnsiTheme="minorHAnsi" w:cs="Arial"/>
        </w:rPr>
        <w:t>Sainsbury &amp; the Felix Project (London, United Kingdom)</w:t>
      </w:r>
      <w:r w:rsidRPr="00BF0974">
        <w:rPr>
          <w:rFonts w:asciiTheme="minorHAnsi" w:hAnsiTheme="minorHAnsi" w:cs="Arial"/>
        </w:rPr>
        <w:t xml:space="preserve"> </w:t>
      </w:r>
      <w:commentRangeEnd w:id="37"/>
      <w:r w:rsidR="00000652">
        <w:rPr>
          <w:rStyle w:val="CommentReference"/>
          <w:rFonts w:asciiTheme="minorHAnsi" w:eastAsiaTheme="minorEastAsia" w:hAnsiTheme="minorHAnsi" w:cstheme="minorBidi"/>
          <w:b w:val="0"/>
          <w:bCs w:val="0"/>
          <w:color w:val="auto"/>
        </w:rPr>
        <w:commentReference w:id="37"/>
      </w:r>
    </w:p>
    <w:p w14:paraId="769DE186" w14:textId="60403FBA" w:rsidR="00057DAA" w:rsidRDefault="001D1219" w:rsidP="00057DAA">
      <w:r>
        <w:t>The Felix Project is London’s largest food redistribution charity</w:t>
      </w:r>
      <w:r w:rsidR="00000652">
        <w:t xml:space="preserve"> that rescues high quality, surplus food</w:t>
      </w:r>
      <w:r>
        <w:t xml:space="preserve">. </w:t>
      </w:r>
      <w:r w:rsidR="00000652">
        <w:t xml:space="preserve">Instead of permitting quality food go to waste, the project </w:t>
      </w:r>
      <w:r w:rsidR="00000652" w:rsidRPr="00000652">
        <w:t>redistribut</w:t>
      </w:r>
      <w:r w:rsidR="00000652">
        <w:t xml:space="preserve">es items </w:t>
      </w:r>
      <w:r w:rsidR="00000652" w:rsidRPr="00000652">
        <w:t>to over 1,200 community organization</w:t>
      </w:r>
      <w:r w:rsidR="00000652">
        <w:t xml:space="preserve">s </w:t>
      </w:r>
      <w:r w:rsidR="00000652" w:rsidRPr="00000652">
        <w:t>across the capital.</w:t>
      </w:r>
      <w:r w:rsidR="00000652">
        <w:t xml:space="preserve"> Dentons UK collaborates with each </w:t>
      </w:r>
      <w:r w:rsidR="00000652" w:rsidRPr="00000652">
        <w:t xml:space="preserve">legal panel member of one of the UK's largest supermarkets, Sainsbury's, to </w:t>
      </w:r>
      <w:proofErr w:type="gramStart"/>
      <w:r w:rsidR="00000652" w:rsidRPr="00000652">
        <w:t>volunteer  with</w:t>
      </w:r>
      <w:proofErr w:type="gramEnd"/>
      <w:r w:rsidR="00000652" w:rsidRPr="00000652">
        <w:t xml:space="preserve"> the Felix Project, to reallocate surplus food to frontline charities and schools.</w:t>
      </w:r>
    </w:p>
    <w:p w14:paraId="21E1D27C" w14:textId="77777777" w:rsidR="00057DAA" w:rsidRDefault="00057DAA" w:rsidP="00057DAA">
      <w:r>
        <w:t>________________________________________________________________________________</w:t>
      </w:r>
    </w:p>
    <w:p w14:paraId="6F549BD0" w14:textId="0B517EC5" w:rsidR="00057DAA" w:rsidRDefault="00057DAA" w:rsidP="00057DAA">
      <w:r>
        <w:t xml:space="preserve">→ Why It Fits:  </w:t>
      </w:r>
      <w:r w:rsidR="00000652" w:rsidRPr="00000652">
        <w:t xml:space="preserve">The joint panel food poverty volunteering day demonstrates </w:t>
      </w:r>
      <w:r w:rsidR="001A2A44">
        <w:t xml:space="preserve">the firm’s </w:t>
      </w:r>
      <w:r w:rsidR="00000652" w:rsidRPr="00000652">
        <w:t xml:space="preserve">commitment to impactful, </w:t>
      </w:r>
      <w:proofErr w:type="gramStart"/>
      <w:r w:rsidR="00000652" w:rsidRPr="00000652">
        <w:t>sustainably-minded</w:t>
      </w:r>
      <w:proofErr w:type="gramEnd"/>
      <w:r w:rsidR="00000652" w:rsidRPr="00000652">
        <w:t xml:space="preserve"> collaboration with clients and peer-firms</w:t>
      </w:r>
      <w:r w:rsidR="001A2A44">
        <w:t xml:space="preserve">. Redistributing surplus food is a sustainable practice because it reduces food waste, improves food security, and minimizes environmental impact. </w:t>
      </w:r>
    </w:p>
    <w:p w14:paraId="45DEA888" w14:textId="541B5C68" w:rsidR="00DF1B7E" w:rsidRPr="00BF0974" w:rsidRDefault="00DF1B7E" w:rsidP="00DF1B7E">
      <w:pPr>
        <w:pStyle w:val="Heading2"/>
        <w:rPr>
          <w:rFonts w:asciiTheme="minorHAnsi" w:hAnsiTheme="minorHAnsi" w:cs="Arial"/>
        </w:rPr>
      </w:pPr>
      <w:commentRangeStart w:id="38"/>
      <w:r w:rsidRPr="00DF1B7E">
        <w:rPr>
          <w:rFonts w:asciiTheme="minorHAnsi" w:hAnsiTheme="minorHAnsi" w:cs="Arial"/>
        </w:rPr>
        <w:t xml:space="preserve">International Center for </w:t>
      </w:r>
      <w:proofErr w:type="spellStart"/>
      <w:r w:rsidRPr="00DF1B7E">
        <w:rPr>
          <w:rFonts w:asciiTheme="minorHAnsi" w:hAnsiTheme="minorHAnsi" w:cs="Arial"/>
        </w:rPr>
        <w:t>Biosaline</w:t>
      </w:r>
      <w:proofErr w:type="spellEnd"/>
      <w:r w:rsidRPr="00DF1B7E">
        <w:rPr>
          <w:rFonts w:asciiTheme="minorHAnsi" w:hAnsiTheme="minorHAnsi" w:cs="Arial"/>
        </w:rPr>
        <w:t xml:space="preserve"> Agriculture</w:t>
      </w:r>
      <w:r>
        <w:rPr>
          <w:rFonts w:asciiTheme="minorHAnsi" w:hAnsiTheme="minorHAnsi" w:cs="Arial"/>
        </w:rPr>
        <w:t xml:space="preserve"> (ICBA),</w:t>
      </w:r>
      <w:r w:rsidRPr="00DF1B7E">
        <w:rPr>
          <w:rFonts w:asciiTheme="minorHAnsi" w:hAnsiTheme="minorHAnsi" w:cs="Arial"/>
        </w:rPr>
        <w:t xml:space="preserve"> </w:t>
      </w:r>
      <w:proofErr w:type="spellStart"/>
      <w:r w:rsidRPr="00DF1B7E">
        <w:rPr>
          <w:rFonts w:asciiTheme="minorHAnsi" w:hAnsiTheme="minorHAnsi" w:cs="Arial"/>
        </w:rPr>
        <w:t>Goumbook</w:t>
      </w:r>
      <w:proofErr w:type="spellEnd"/>
      <w:r>
        <w:rPr>
          <w:rFonts w:asciiTheme="minorHAnsi" w:hAnsiTheme="minorHAnsi" w:cs="Arial"/>
        </w:rPr>
        <w:t>, &amp; PepsiCo Middle East (</w:t>
      </w:r>
      <w:proofErr w:type="gramStart"/>
      <w:r>
        <w:rPr>
          <w:rFonts w:asciiTheme="minorHAnsi" w:hAnsiTheme="minorHAnsi" w:cs="Arial"/>
        </w:rPr>
        <w:t xml:space="preserve">Dubai, </w:t>
      </w:r>
      <w:r w:rsidRPr="00BF0974">
        <w:rPr>
          <w:rFonts w:asciiTheme="minorHAnsi" w:hAnsiTheme="minorHAnsi" w:cs="Arial"/>
        </w:rPr>
        <w:t xml:space="preserve"> </w:t>
      </w:r>
      <w:r>
        <w:rPr>
          <w:rFonts w:asciiTheme="minorHAnsi" w:hAnsiTheme="minorHAnsi" w:cs="Arial"/>
        </w:rPr>
        <w:t>United</w:t>
      </w:r>
      <w:proofErr w:type="gramEnd"/>
      <w:r>
        <w:rPr>
          <w:rFonts w:asciiTheme="minorHAnsi" w:hAnsiTheme="minorHAnsi" w:cs="Arial"/>
        </w:rPr>
        <w:t xml:space="preserve"> Arab Emirates)</w:t>
      </w:r>
      <w:commentRangeEnd w:id="38"/>
      <w:r>
        <w:rPr>
          <w:rStyle w:val="CommentReference"/>
          <w:rFonts w:asciiTheme="minorHAnsi" w:eastAsiaTheme="minorEastAsia" w:hAnsiTheme="minorHAnsi" w:cstheme="minorBidi"/>
          <w:b w:val="0"/>
          <w:bCs w:val="0"/>
          <w:color w:val="auto"/>
        </w:rPr>
        <w:commentReference w:id="38"/>
      </w:r>
    </w:p>
    <w:p w14:paraId="09F44AF7" w14:textId="53BE160E" w:rsidR="00DF1B7E" w:rsidRDefault="00DF1B7E" w:rsidP="00DF1B7E">
      <w:r>
        <w:t>The ICBA is an international, not-for-profit applied agricultural research center that focuses on marginal environments</w:t>
      </w:r>
      <w:r w:rsidR="00EC6D60">
        <w:t xml:space="preserve"> facing </w:t>
      </w:r>
      <w:r w:rsidR="00EC6D60" w:rsidRPr="00EC6D60">
        <w:t>challenges like soil and water salinity, water scarcity, and drought.</w:t>
      </w:r>
      <w:r w:rsidR="00EC6D60">
        <w:t xml:space="preserve"> ICBA </w:t>
      </w:r>
      <w:r w:rsidR="00EC6D60" w:rsidRPr="00EC6D60">
        <w:t>identifies, tests, and introduces resource-efficient, climate-smart crops and technologies for these regions.</w:t>
      </w:r>
      <w:r w:rsidR="00EC6D60">
        <w:t xml:space="preserve"> </w:t>
      </w:r>
      <w:proofErr w:type="spellStart"/>
      <w:r w:rsidR="00EC6D60" w:rsidRPr="00EC6D60">
        <w:t>Goumbook</w:t>
      </w:r>
      <w:proofErr w:type="spellEnd"/>
      <w:r w:rsidR="00EC6D60" w:rsidRPr="00EC6D60">
        <w:t xml:space="preserve"> is</w:t>
      </w:r>
      <w:r w:rsidR="00EC6D60">
        <w:t xml:space="preserve"> also another </w:t>
      </w:r>
      <w:r w:rsidR="00EC6D60" w:rsidRPr="00EC6D60">
        <w:t>global organization focused on sustainable development and environmental action.</w:t>
      </w:r>
      <w:r w:rsidR="00EC6D60">
        <w:t xml:space="preserve"> In collaboration with these organizations and </w:t>
      </w:r>
      <w:r w:rsidR="00EC6D60" w:rsidRPr="00EC6D60">
        <w:t>PepsiCo Middle East</w:t>
      </w:r>
      <w:r w:rsidR="00EC6D60">
        <w:t xml:space="preserve">, Dentons Dubai gathered to plant </w:t>
      </w:r>
      <w:r w:rsidR="00EC6D60" w:rsidRPr="00EC6D60">
        <w:t xml:space="preserve">30 </w:t>
      </w:r>
      <w:proofErr w:type="spellStart"/>
      <w:r w:rsidR="00EC6D60" w:rsidRPr="00EC6D60">
        <w:t>Ghaf</w:t>
      </w:r>
      <w:proofErr w:type="spellEnd"/>
      <w:r w:rsidR="00EC6D60" w:rsidRPr="00EC6D60">
        <w:t xml:space="preserve"> trees, a symbol of national pride in the United Arab Emirates.</w:t>
      </w:r>
    </w:p>
    <w:p w14:paraId="7BECAC3C" w14:textId="77777777" w:rsidR="00DF1B7E" w:rsidRDefault="00DF1B7E" w:rsidP="00DF1B7E">
      <w:r>
        <w:t>________________________________________________________________________________</w:t>
      </w:r>
    </w:p>
    <w:p w14:paraId="41987714" w14:textId="67803E29" w:rsidR="00DF1B7E" w:rsidRDefault="00DF1B7E" w:rsidP="00DF1B7E">
      <w:r>
        <w:t xml:space="preserve">→ Why It Fits:  </w:t>
      </w:r>
      <w:r w:rsidR="00EC6D60" w:rsidRPr="00EC6D60">
        <w:t xml:space="preserve">The initiative complemented </w:t>
      </w:r>
      <w:r w:rsidR="00EC6D60">
        <w:t xml:space="preserve">the office’s </w:t>
      </w:r>
      <w:r w:rsidR="00EC6D60" w:rsidRPr="00EC6D60">
        <w:t>Net Zero program and highlighted the multifaceted benefits of environmental volunteering—combining physical and mental well</w:t>
      </w:r>
      <w:r w:rsidR="004E6022">
        <w:t>-</w:t>
      </w:r>
      <w:r w:rsidR="00EC6D60" w:rsidRPr="00EC6D60">
        <w:t xml:space="preserve">being with the strengthening of personal and professional bonds. Engaging clients in </w:t>
      </w:r>
      <w:r w:rsidR="00EC6D60">
        <w:lastRenderedPageBreak/>
        <w:t xml:space="preserve">sustainable </w:t>
      </w:r>
      <w:r w:rsidR="00EC6D60" w:rsidRPr="00EC6D60">
        <w:t xml:space="preserve">activities is </w:t>
      </w:r>
      <w:r w:rsidR="0021066B">
        <w:t>an</w:t>
      </w:r>
      <w:r w:rsidR="00EC6D60" w:rsidRPr="00EC6D60">
        <w:t xml:space="preserve"> integral part </w:t>
      </w:r>
      <w:r w:rsidR="0021066B">
        <w:t xml:space="preserve">in constructing collective </w:t>
      </w:r>
      <w:r w:rsidR="00EC6D60" w:rsidRPr="00EC6D60">
        <w:t>environmental stewardship.</w:t>
      </w:r>
    </w:p>
    <w:p w14:paraId="39D53F1B" w14:textId="7F77393B" w:rsidR="0021066B" w:rsidRPr="00BF0974" w:rsidRDefault="0021066B" w:rsidP="0021066B">
      <w:pPr>
        <w:pStyle w:val="Heading2"/>
        <w:rPr>
          <w:rFonts w:asciiTheme="minorHAnsi" w:hAnsiTheme="minorHAnsi" w:cs="Arial"/>
        </w:rPr>
      </w:pPr>
      <w:commentRangeStart w:id="39"/>
      <w:r w:rsidRPr="0021066B">
        <w:rPr>
          <w:rFonts w:asciiTheme="minorHAnsi" w:hAnsiTheme="minorHAnsi" w:cs="Arial"/>
        </w:rPr>
        <w:t>Pro Bono Climate Disclosure Reporting for the Middle East and North Africa</w:t>
      </w:r>
      <w:r>
        <w:rPr>
          <w:rFonts w:asciiTheme="minorHAnsi" w:hAnsiTheme="minorHAnsi" w:cs="Arial"/>
        </w:rPr>
        <w:t xml:space="preserve"> (Muscat, Oman)</w:t>
      </w:r>
      <w:commentRangeEnd w:id="39"/>
      <w:r w:rsidR="00561760">
        <w:rPr>
          <w:rStyle w:val="CommentReference"/>
          <w:rFonts w:asciiTheme="minorHAnsi" w:eastAsiaTheme="minorEastAsia" w:hAnsiTheme="minorHAnsi" w:cstheme="minorBidi"/>
          <w:b w:val="0"/>
          <w:bCs w:val="0"/>
          <w:color w:val="auto"/>
        </w:rPr>
        <w:commentReference w:id="39"/>
      </w:r>
    </w:p>
    <w:p w14:paraId="44E2B996" w14:textId="2FD38350" w:rsidR="0021066B" w:rsidRDefault="00561760" w:rsidP="0021066B">
      <w:r w:rsidRPr="00561760">
        <w:t>To support the London School of Economics "Grantham Institute" and the New York City Bar Association's "The Vance Center", two senior associates led a pro bono research project on climate regulation and reporting obligations across the Middle East and North Africa.</w:t>
      </w:r>
      <w:r>
        <w:t xml:space="preserve"> </w:t>
      </w:r>
      <w:r w:rsidRPr="00561760">
        <w:t>They coordinated a team of thirteen lawyers from the region, who diligently researched and analyzed the different environmental laws and requirements</w:t>
      </w:r>
      <w:r>
        <w:t xml:space="preserve">. </w:t>
      </w:r>
    </w:p>
    <w:p w14:paraId="48F693F9" w14:textId="77777777" w:rsidR="0021066B" w:rsidRDefault="0021066B" w:rsidP="0021066B">
      <w:r>
        <w:t>________________________________________________________________________________</w:t>
      </w:r>
    </w:p>
    <w:p w14:paraId="36978130" w14:textId="7F3AB302" w:rsidR="0021066B" w:rsidRDefault="0021066B" w:rsidP="0021066B">
      <w:r>
        <w:t xml:space="preserve">→ Why It Fits:  </w:t>
      </w:r>
      <w:r w:rsidR="00561760">
        <w:t xml:space="preserve">As a result of the research, the team composed a </w:t>
      </w:r>
      <w:r w:rsidR="00561760" w:rsidRPr="00561760">
        <w:t xml:space="preserve">detailed report providing a </w:t>
      </w:r>
      <w:r w:rsidR="00561760">
        <w:t xml:space="preserve">clear comprehension </w:t>
      </w:r>
      <w:r w:rsidR="00561760" w:rsidRPr="00561760">
        <w:t xml:space="preserve">of the </w:t>
      </w:r>
      <w:r w:rsidR="00561760">
        <w:t xml:space="preserve">region’s </w:t>
      </w:r>
      <w:r w:rsidR="00561760" w:rsidRPr="00561760">
        <w:t>regulatory environment</w:t>
      </w:r>
      <w:r w:rsidR="00561760">
        <w:t>. The accessible information aids</w:t>
      </w:r>
      <w:r w:rsidR="00561760" w:rsidRPr="00561760">
        <w:t xml:space="preserve"> pro bono clients in navigating the complexities of climate-related policies within </w:t>
      </w:r>
      <w:r w:rsidR="00561760">
        <w:t xml:space="preserve">Middle Eastern and North African </w:t>
      </w:r>
      <w:r w:rsidR="00561760" w:rsidRPr="00561760">
        <w:t>jurisdictions.</w:t>
      </w:r>
    </w:p>
    <w:p w14:paraId="5EE60832" w14:textId="77777777" w:rsidR="0021066B" w:rsidRDefault="0021066B" w:rsidP="00DF1B7E"/>
    <w:p w14:paraId="1A3A33B7" w14:textId="77777777" w:rsidR="00DF1B7E" w:rsidRDefault="00DF1B7E" w:rsidP="00057DAA"/>
    <w:p w14:paraId="6629B155" w14:textId="77777777" w:rsidR="00F50750" w:rsidRDefault="00F50750" w:rsidP="00205F50"/>
    <w:p w14:paraId="5EE754F7" w14:textId="77777777" w:rsidR="00205F50" w:rsidRDefault="00205F50" w:rsidP="002A437E"/>
    <w:p w14:paraId="0D1857A3" w14:textId="77777777" w:rsidR="002A437E" w:rsidRPr="002A437E" w:rsidRDefault="002A437E" w:rsidP="002A437E">
      <w:pPr>
        <w:rPr>
          <w:b/>
          <w:bCs/>
        </w:rPr>
      </w:pPr>
    </w:p>
    <w:p w14:paraId="54BA84A2" w14:textId="77777777" w:rsidR="00DF662A" w:rsidRPr="002A437E" w:rsidRDefault="00DF662A">
      <w:pPr>
        <w:rPr>
          <w:b/>
          <w:bCs/>
        </w:rPr>
      </w:pPr>
    </w:p>
    <w:sectPr w:rsidR="00DF662A" w:rsidRPr="002A437E"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rson 1" w:date="2025-06-09T10:26:00Z" w:initials="">
    <w:p w14:paraId="1D5C6297" w14:textId="77777777" w:rsidR="004E1581" w:rsidRDefault="004E1581" w:rsidP="004E1581">
      <w:pPr>
        <w:pStyle w:val="CommentText"/>
      </w:pPr>
      <w:r>
        <w:rPr>
          <w:rStyle w:val="CommentReference"/>
        </w:rPr>
        <w:annotationRef/>
      </w:r>
      <w:r>
        <w:t>U.S. 2023 Impact Report (pg. 12)</w:t>
      </w:r>
    </w:p>
  </w:comment>
  <w:comment w:id="1" w:author="Person 1" w:date="2025-06-09T12:07:00Z" w:initials="">
    <w:p w14:paraId="2441E261" w14:textId="77777777" w:rsidR="00A673F6" w:rsidRDefault="00A673F6" w:rsidP="00A673F6">
      <w:pPr>
        <w:pStyle w:val="CommentText"/>
      </w:pPr>
      <w:r>
        <w:rPr>
          <w:rStyle w:val="CommentReference"/>
        </w:rPr>
        <w:annotationRef/>
      </w:r>
      <w:r>
        <w:t>U.S. 2024 Impact Report (pg. 6)</w:t>
      </w:r>
    </w:p>
  </w:comment>
  <w:comment w:id="2" w:author="Person 1" w:date="2025-06-09T13:30:00Z" w:initials="">
    <w:p w14:paraId="6E35D13E" w14:textId="77777777" w:rsidR="0039285E" w:rsidRDefault="0039285E" w:rsidP="0039285E">
      <w:pPr>
        <w:pStyle w:val="CommentText"/>
      </w:pPr>
      <w:r>
        <w:rPr>
          <w:rStyle w:val="CommentReference"/>
        </w:rPr>
        <w:annotationRef/>
      </w:r>
      <w:r>
        <w:t>U.S. 2024 Impact Report (pg.7)</w:t>
      </w:r>
    </w:p>
  </w:comment>
  <w:comment w:id="3" w:author="Person 1" w:date="2025-06-10T11:20:00Z" w:initials="">
    <w:p w14:paraId="1860EE53" w14:textId="77777777" w:rsidR="0055143E" w:rsidRDefault="0055143E" w:rsidP="0055143E">
      <w:pPr>
        <w:pStyle w:val="CommentText"/>
      </w:pPr>
      <w:r>
        <w:rPr>
          <w:rStyle w:val="CommentReference"/>
        </w:rPr>
        <w:annotationRef/>
      </w:r>
      <w:r>
        <w:t>Canada 2025 Application (pg. 9)</w:t>
      </w:r>
    </w:p>
  </w:comment>
  <w:comment w:id="4" w:author="Person 1" w:date="2025-06-10T12:12:00Z" w:initials="">
    <w:p w14:paraId="1DB0C023" w14:textId="77777777" w:rsidR="00D47979" w:rsidRDefault="00D47979" w:rsidP="00D47979">
      <w:pPr>
        <w:pStyle w:val="CommentText"/>
      </w:pPr>
      <w:r>
        <w:rPr>
          <w:rStyle w:val="CommentReference"/>
        </w:rPr>
        <w:annotationRef/>
      </w:r>
      <w:r>
        <w:t>Canada 2025 Application (pg. 10)</w:t>
      </w:r>
    </w:p>
  </w:comment>
  <w:comment w:id="5" w:author="Person 1" w:date="2025-06-12T11:36:00Z" w:initials="">
    <w:p w14:paraId="2C337E3E" w14:textId="77777777" w:rsidR="0024260A" w:rsidRDefault="0024260A" w:rsidP="0024260A">
      <w:pPr>
        <w:pStyle w:val="CommentText"/>
      </w:pPr>
      <w:r>
        <w:rPr>
          <w:rStyle w:val="CommentReference"/>
        </w:rPr>
        <w:annotationRef/>
      </w:r>
      <w:r>
        <w:t>UK 2024 Impact Report</w:t>
      </w:r>
    </w:p>
  </w:comment>
  <w:comment w:id="6" w:author="Person 1" w:date="2025-06-12T15:11:00Z" w:initials="">
    <w:p w14:paraId="7767540A" w14:textId="77777777" w:rsidR="004835B8" w:rsidRDefault="004835B8" w:rsidP="004835B8">
      <w:pPr>
        <w:pStyle w:val="CommentText"/>
      </w:pPr>
      <w:r>
        <w:rPr>
          <w:rStyle w:val="CommentReference"/>
        </w:rPr>
        <w:annotationRef/>
      </w:r>
      <w:hyperlink r:id="rId1" w:history="1">
        <w:r w:rsidRPr="007D0535">
          <w:rPr>
            <w:rStyle w:val="Hyperlink"/>
          </w:rPr>
          <w:t>Dentons - Pro Bono and Civic Engagement in the United States</w:t>
        </w:r>
      </w:hyperlink>
      <w:r>
        <w:t xml:space="preserve"> </w:t>
      </w:r>
    </w:p>
  </w:comment>
  <w:comment w:id="7" w:author="Person 1" w:date="2025-06-12T15:12:00Z" w:initials="">
    <w:p w14:paraId="21E90306" w14:textId="77777777" w:rsidR="004835B8" w:rsidRDefault="004835B8" w:rsidP="004835B8">
      <w:pPr>
        <w:pStyle w:val="CommentText"/>
      </w:pPr>
      <w:r>
        <w:rPr>
          <w:rStyle w:val="CommentReference"/>
        </w:rPr>
        <w:annotationRef/>
      </w:r>
      <w:r>
        <w:t>Location is where the performance was held, which is one reason why the visas were issued</w:t>
      </w:r>
    </w:p>
  </w:comment>
  <w:comment w:id="8" w:author="Person 1" w:date="2025-06-06T18:41:00Z" w:initials="">
    <w:p w14:paraId="46A9D5A9" w14:textId="17F5A26C" w:rsidR="0054281E" w:rsidRDefault="005D188A" w:rsidP="0054281E">
      <w:pPr>
        <w:pStyle w:val="CommentText"/>
      </w:pPr>
      <w:r>
        <w:rPr>
          <w:rStyle w:val="CommentReference"/>
        </w:rPr>
        <w:annotationRef/>
      </w:r>
      <w:r w:rsidR="0054281E">
        <w:t>U.S. 2023 Impact Report</w:t>
      </w:r>
    </w:p>
  </w:comment>
  <w:comment w:id="9" w:author="Person 1" w:date="2025-06-06T19:08:00Z" w:initials="">
    <w:p w14:paraId="3B76F761" w14:textId="2C8367E2" w:rsidR="005D188A" w:rsidRDefault="005D188A" w:rsidP="005D188A">
      <w:pPr>
        <w:pStyle w:val="CommentText"/>
      </w:pPr>
      <w:r>
        <w:rPr>
          <w:rStyle w:val="CommentReference"/>
        </w:rPr>
        <w:annotationRef/>
      </w:r>
      <w:r>
        <w:t>U.S. 2023 Impact report (pg. 6)</w:t>
      </w:r>
    </w:p>
  </w:comment>
  <w:comment w:id="10" w:author="Person 1" w:date="2025-06-10T13:55:00Z" w:initials="">
    <w:p w14:paraId="6687557D" w14:textId="77777777" w:rsidR="009F72C3" w:rsidRDefault="009F72C3" w:rsidP="009F72C3">
      <w:pPr>
        <w:pStyle w:val="CommentText"/>
      </w:pPr>
      <w:r>
        <w:rPr>
          <w:rStyle w:val="CommentReference"/>
        </w:rPr>
        <w:annotationRef/>
      </w:r>
      <w:r>
        <w:t>Canada 2025 Application (pg. 12)</w:t>
      </w:r>
    </w:p>
  </w:comment>
  <w:comment w:id="11" w:author="Person 1" w:date="2025-06-11T14:18:00Z" w:initials="">
    <w:p w14:paraId="506B105F" w14:textId="77777777" w:rsidR="00471670" w:rsidRDefault="00471670" w:rsidP="00471670">
      <w:pPr>
        <w:pStyle w:val="CommentText"/>
      </w:pPr>
      <w:r>
        <w:rPr>
          <w:rStyle w:val="CommentReference"/>
        </w:rPr>
        <w:annotationRef/>
      </w:r>
      <w:r>
        <w:t>Canada 2026 Application (pg. 11)</w:t>
      </w:r>
    </w:p>
  </w:comment>
  <w:comment w:id="12" w:author="Person 1" w:date="2025-06-11T15:47:00Z" w:initials="">
    <w:p w14:paraId="4A6F5C59" w14:textId="77777777" w:rsidR="006679EA" w:rsidRDefault="006679EA" w:rsidP="006679EA">
      <w:pPr>
        <w:pStyle w:val="CommentText"/>
      </w:pPr>
      <w:r>
        <w:rPr>
          <w:rStyle w:val="CommentReference"/>
        </w:rPr>
        <w:annotationRef/>
      </w:r>
      <w:r>
        <w:t>Canada website</w:t>
      </w:r>
    </w:p>
  </w:comment>
  <w:comment w:id="13" w:author="Person 1" w:date="2025-06-12T12:03:00Z" w:initials="">
    <w:p w14:paraId="498F844D" w14:textId="77777777" w:rsidR="004379D9" w:rsidRDefault="004379D9" w:rsidP="004379D9">
      <w:pPr>
        <w:pStyle w:val="CommentText"/>
      </w:pPr>
      <w:r>
        <w:rPr>
          <w:rStyle w:val="CommentReference"/>
        </w:rPr>
        <w:annotationRef/>
      </w:r>
      <w:r>
        <w:t>UK 2024 Impact Report</w:t>
      </w:r>
    </w:p>
  </w:comment>
  <w:comment w:id="14" w:author="Person 1" w:date="2025-06-12T12:04:00Z" w:initials="">
    <w:p w14:paraId="74B2C41C" w14:textId="77777777" w:rsidR="004379D9" w:rsidRDefault="004379D9" w:rsidP="004379D9">
      <w:pPr>
        <w:pStyle w:val="CommentText"/>
      </w:pPr>
      <w:r>
        <w:rPr>
          <w:rStyle w:val="CommentReference"/>
        </w:rPr>
        <w:annotationRef/>
      </w:r>
      <w:r>
        <w:t>Dentons office location where support is being given from</w:t>
      </w:r>
    </w:p>
  </w:comment>
  <w:comment w:id="15" w:author="Person 1" w:date="2025-06-06T19:12:00Z" w:initials="">
    <w:p w14:paraId="6E315F27" w14:textId="13F42338" w:rsidR="005D188A" w:rsidRDefault="005D188A" w:rsidP="005D188A">
      <w:pPr>
        <w:pStyle w:val="CommentText"/>
      </w:pPr>
      <w:r>
        <w:rPr>
          <w:rStyle w:val="CommentReference"/>
        </w:rPr>
        <w:annotationRef/>
      </w:r>
      <w:r>
        <w:t>U.S. 2023 Impact Report (pg. 5)</w:t>
      </w:r>
    </w:p>
  </w:comment>
  <w:comment w:id="16" w:author="Person 1" w:date="2025-06-06T19:33:00Z" w:initials="">
    <w:p w14:paraId="25F742E5" w14:textId="77777777" w:rsidR="009A4267" w:rsidRDefault="009A4267" w:rsidP="009A4267">
      <w:pPr>
        <w:pStyle w:val="CommentText"/>
      </w:pPr>
      <w:r>
        <w:rPr>
          <w:rStyle w:val="CommentReference"/>
        </w:rPr>
        <w:annotationRef/>
      </w:r>
      <w:r>
        <w:t>U.S. 2023 Impact Report (pg. 10)</w:t>
      </w:r>
    </w:p>
  </w:comment>
  <w:comment w:id="17" w:author="Person 1" w:date="2025-06-09T13:48:00Z" w:initials="">
    <w:p w14:paraId="196EDBE3" w14:textId="77777777" w:rsidR="0054281E" w:rsidRDefault="0054281E" w:rsidP="0054281E">
      <w:pPr>
        <w:pStyle w:val="CommentText"/>
      </w:pPr>
      <w:r>
        <w:rPr>
          <w:rStyle w:val="CommentReference"/>
        </w:rPr>
        <w:annotationRef/>
      </w:r>
      <w:r>
        <w:t>U.S. 2024 Impact report (pg. 8)</w:t>
      </w:r>
    </w:p>
  </w:comment>
  <w:comment w:id="18" w:author="Person 1" w:date="2025-06-09T14:06:00Z" w:initials="">
    <w:p w14:paraId="2B8FCC11" w14:textId="77777777" w:rsidR="00186329" w:rsidRDefault="00907A68" w:rsidP="00186329">
      <w:pPr>
        <w:pStyle w:val="CommentText"/>
      </w:pPr>
      <w:r>
        <w:rPr>
          <w:rStyle w:val="CommentReference"/>
        </w:rPr>
        <w:annotationRef/>
      </w:r>
      <w:r w:rsidR="00186329">
        <w:t xml:space="preserve">There’s an additional example about child support for survivors, but there is no official case title - should I include this? </w:t>
      </w:r>
    </w:p>
  </w:comment>
  <w:comment w:id="19" w:author="Person 1" w:date="2025-06-12T14:14:00Z" w:initials="">
    <w:p w14:paraId="06108BB7" w14:textId="77777777" w:rsidR="00196180" w:rsidRDefault="00196180" w:rsidP="00196180">
      <w:pPr>
        <w:pStyle w:val="CommentText"/>
      </w:pPr>
      <w:r>
        <w:rPr>
          <w:rStyle w:val="CommentReference"/>
        </w:rPr>
        <w:annotationRef/>
      </w:r>
      <w:r>
        <w:t>UK 2024 Impact Report</w:t>
      </w:r>
    </w:p>
  </w:comment>
  <w:comment w:id="20" w:author="Person 1" w:date="2025-06-12T14:18:00Z" w:initials="">
    <w:p w14:paraId="1D544B7D" w14:textId="77777777" w:rsidR="00C308EB" w:rsidRDefault="00C308EB" w:rsidP="00C308EB">
      <w:pPr>
        <w:pStyle w:val="CommentText"/>
      </w:pPr>
      <w:r>
        <w:rPr>
          <w:rStyle w:val="CommentReference"/>
        </w:rPr>
        <w:annotationRef/>
      </w:r>
      <w:r>
        <w:t xml:space="preserve">UK 2024 Impact Report </w:t>
      </w:r>
    </w:p>
  </w:comment>
  <w:comment w:id="21" w:author="Person 1" w:date="2025-06-12T14:31:00Z" w:initials="">
    <w:p w14:paraId="566EC865" w14:textId="77777777" w:rsidR="005A1E18" w:rsidRDefault="005A1E18" w:rsidP="005A1E18">
      <w:pPr>
        <w:pStyle w:val="CommentText"/>
      </w:pPr>
      <w:r>
        <w:rPr>
          <w:rStyle w:val="CommentReference"/>
        </w:rPr>
        <w:annotationRef/>
      </w:r>
      <w:r>
        <w:t>UK 2024 Impact Report</w:t>
      </w:r>
    </w:p>
  </w:comment>
  <w:comment w:id="22" w:author="Person 1" w:date="2025-06-12T14:50:00Z" w:initials="">
    <w:p w14:paraId="1088698F" w14:textId="77777777" w:rsidR="00A25367" w:rsidRDefault="00A25367" w:rsidP="00A25367">
      <w:pPr>
        <w:pStyle w:val="CommentText"/>
      </w:pPr>
      <w:r>
        <w:rPr>
          <w:rStyle w:val="CommentReference"/>
        </w:rPr>
        <w:annotationRef/>
      </w:r>
      <w:r>
        <w:t>UK 2024 Impact Report</w:t>
      </w:r>
    </w:p>
  </w:comment>
  <w:comment w:id="23" w:author="Person 1" w:date="2025-06-06T18:57:00Z" w:initials="">
    <w:p w14:paraId="24951C58" w14:textId="4C161503" w:rsidR="005D188A" w:rsidRDefault="005D188A" w:rsidP="005D188A">
      <w:pPr>
        <w:pStyle w:val="CommentText"/>
      </w:pPr>
      <w:r>
        <w:rPr>
          <w:rStyle w:val="CommentReference"/>
        </w:rPr>
        <w:annotationRef/>
      </w:r>
      <w:r>
        <w:t>U.S. 2023 Impact Report (pg 5)</w:t>
      </w:r>
    </w:p>
  </w:comment>
  <w:comment w:id="24" w:author="Person 1" w:date="2025-06-10T10:45:00Z" w:initials="">
    <w:p w14:paraId="44C1F4A4" w14:textId="77777777" w:rsidR="00F63456" w:rsidRDefault="007530EB" w:rsidP="00F63456">
      <w:pPr>
        <w:pStyle w:val="CommentText"/>
      </w:pPr>
      <w:r>
        <w:rPr>
          <w:rStyle w:val="CommentReference"/>
        </w:rPr>
        <w:annotationRef/>
      </w:r>
      <w:r w:rsidR="00F63456">
        <w:t>Canada 2025 Application (pg. 3)</w:t>
      </w:r>
    </w:p>
  </w:comment>
  <w:comment w:id="25" w:author="Person 1" w:date="2025-06-10T10:58:00Z" w:initials="">
    <w:p w14:paraId="694A036A" w14:textId="77777777" w:rsidR="00F63456" w:rsidRDefault="00F63456" w:rsidP="00F63456">
      <w:pPr>
        <w:pStyle w:val="CommentText"/>
      </w:pPr>
      <w:r>
        <w:rPr>
          <w:rStyle w:val="CommentReference"/>
        </w:rPr>
        <w:annotationRef/>
      </w:r>
      <w:r>
        <w:t>There are more neighborhood-based examples on this application, but does not include much details</w:t>
      </w:r>
    </w:p>
  </w:comment>
  <w:comment w:id="26" w:author="Person 1" w:date="2025-06-10T11:45:00Z" w:initials="">
    <w:p w14:paraId="1867A02A" w14:textId="77777777" w:rsidR="00B33922" w:rsidRDefault="00B33922" w:rsidP="00B33922">
      <w:pPr>
        <w:pStyle w:val="CommentText"/>
      </w:pPr>
      <w:r>
        <w:rPr>
          <w:rStyle w:val="CommentReference"/>
        </w:rPr>
        <w:annotationRef/>
      </w:r>
      <w:r>
        <w:t>Canada 2025 Application (pg. 12)</w:t>
      </w:r>
    </w:p>
  </w:comment>
  <w:comment w:id="27" w:author="Person 1" w:date="2025-06-10T11:52:00Z" w:initials="">
    <w:p w14:paraId="3000B415" w14:textId="77777777" w:rsidR="00C82F56" w:rsidRDefault="00C82F56" w:rsidP="00C82F56">
      <w:pPr>
        <w:pStyle w:val="CommentText"/>
      </w:pPr>
      <w:r>
        <w:rPr>
          <w:rStyle w:val="CommentReference"/>
        </w:rPr>
        <w:annotationRef/>
      </w:r>
      <w:r>
        <w:t>There are more initiatives under United Way, but they all are donations / funding</w:t>
      </w:r>
    </w:p>
  </w:comment>
  <w:comment w:id="28" w:author="Person 1" w:date="2025-06-10T13:33:00Z" w:initials="">
    <w:p w14:paraId="776E0193" w14:textId="77777777" w:rsidR="00AE2CCE" w:rsidRDefault="00AE2CCE" w:rsidP="00AE2CCE">
      <w:pPr>
        <w:pStyle w:val="CommentText"/>
      </w:pPr>
      <w:r>
        <w:rPr>
          <w:rStyle w:val="CommentReference"/>
        </w:rPr>
        <w:annotationRef/>
      </w:r>
      <w:r>
        <w:t>Canada 2025 Application</w:t>
      </w:r>
    </w:p>
  </w:comment>
  <w:comment w:id="29" w:author="Person 1" w:date="2025-06-12T14:55:00Z" w:initials="">
    <w:p w14:paraId="333A21EF" w14:textId="77777777" w:rsidR="00562F5E" w:rsidRDefault="00562F5E" w:rsidP="00562F5E">
      <w:pPr>
        <w:pStyle w:val="CommentText"/>
      </w:pPr>
      <w:r>
        <w:rPr>
          <w:rStyle w:val="CommentReference"/>
        </w:rPr>
        <w:annotationRef/>
      </w:r>
      <w:hyperlink r:id="rId2" w:history="1">
        <w:r w:rsidRPr="006F44B6">
          <w:rPr>
            <w:rStyle w:val="Hyperlink"/>
          </w:rPr>
          <w:t>Dentons - Dentons partners with the Older Women's Network to reduce women's homelessness</w:t>
        </w:r>
      </w:hyperlink>
      <w:r>
        <w:t xml:space="preserve"> </w:t>
      </w:r>
    </w:p>
  </w:comment>
  <w:comment w:id="30" w:author="Person 1" w:date="2025-06-12T14:56:00Z" w:initials="">
    <w:p w14:paraId="68D1BFE5" w14:textId="77777777" w:rsidR="00562F5E" w:rsidRDefault="00562F5E" w:rsidP="00562F5E">
      <w:pPr>
        <w:pStyle w:val="CommentText"/>
      </w:pPr>
      <w:r>
        <w:rPr>
          <w:rStyle w:val="CommentReference"/>
        </w:rPr>
        <w:annotationRef/>
      </w:r>
      <w:r>
        <w:t>I researched examples outside the emailed reports to find more concepts that fit gender equality</w:t>
      </w:r>
    </w:p>
  </w:comment>
  <w:comment w:id="31" w:author="Person 1" w:date="2025-06-12T15:32:00Z" w:initials="">
    <w:p w14:paraId="233EC8CF" w14:textId="77777777" w:rsidR="00160F67" w:rsidRDefault="00160F67" w:rsidP="00160F67">
      <w:pPr>
        <w:pStyle w:val="CommentText"/>
      </w:pPr>
      <w:r>
        <w:rPr>
          <w:rStyle w:val="CommentReference"/>
        </w:rPr>
        <w:annotationRef/>
      </w:r>
      <w:r>
        <w:t>There are programs under Dentons that promote the advancement of women in the legal profession, but I don’t think that corresponds to pro bono work</w:t>
      </w:r>
    </w:p>
  </w:comment>
  <w:comment w:id="32" w:author="Person 1" w:date="2025-06-09T10:34:00Z" w:initials="">
    <w:p w14:paraId="642E18D7" w14:textId="12692DAD" w:rsidR="00087D64" w:rsidRDefault="00087D64" w:rsidP="00087D64">
      <w:pPr>
        <w:pStyle w:val="CommentText"/>
      </w:pPr>
      <w:r>
        <w:rPr>
          <w:rStyle w:val="CommentReference"/>
        </w:rPr>
        <w:annotationRef/>
      </w:r>
      <w:r>
        <w:t>U.S. 2023 Impact Report (pg. 14)</w:t>
      </w:r>
    </w:p>
  </w:comment>
  <w:comment w:id="33" w:author="Person 1" w:date="2025-06-09T11:05:00Z" w:initials="">
    <w:p w14:paraId="344AE1B3" w14:textId="77777777" w:rsidR="00DC212D" w:rsidRDefault="00DC212D" w:rsidP="00DC212D">
      <w:pPr>
        <w:pStyle w:val="CommentText"/>
      </w:pPr>
      <w:r>
        <w:rPr>
          <w:rStyle w:val="CommentReference"/>
        </w:rPr>
        <w:annotationRef/>
      </w:r>
      <w:r>
        <w:t>U.S. 2023 Impact report (pg. 15)</w:t>
      </w:r>
    </w:p>
  </w:comment>
  <w:comment w:id="34" w:author="Person 1" w:date="2025-06-09T11:54:00Z" w:initials="">
    <w:p w14:paraId="78CDE334" w14:textId="77777777" w:rsidR="008A4098" w:rsidRDefault="008A4098" w:rsidP="008A4098">
      <w:pPr>
        <w:pStyle w:val="CommentText"/>
      </w:pPr>
      <w:r>
        <w:rPr>
          <w:rStyle w:val="CommentReference"/>
        </w:rPr>
        <w:annotationRef/>
      </w:r>
      <w:r>
        <w:t>U.S. Impact Report (pg. 14)</w:t>
      </w:r>
    </w:p>
  </w:comment>
  <w:comment w:id="35" w:author="Person 1" w:date="2025-06-09T11:55:00Z" w:initials="">
    <w:p w14:paraId="75CB0C37" w14:textId="77777777" w:rsidR="008A4098" w:rsidRDefault="008A4098" w:rsidP="008A4098">
      <w:pPr>
        <w:pStyle w:val="CommentText"/>
      </w:pPr>
      <w:r>
        <w:rPr>
          <w:rStyle w:val="CommentReference"/>
        </w:rPr>
        <w:annotationRef/>
      </w:r>
      <w:r>
        <w:t xml:space="preserve">The location is from where the organization is based on as the firms in which Dentons’ lawyers are employed from are not specified. The report mentions that U.S. &amp; Canada lawyers were working on this project, but not eery example specifies this. </w:t>
      </w:r>
    </w:p>
  </w:comment>
  <w:comment w:id="36" w:author="Person 1" w:date="2025-06-11T16:44:00Z" w:initials="">
    <w:p w14:paraId="0ECFD46B" w14:textId="77777777" w:rsidR="009250E7" w:rsidRDefault="009250E7" w:rsidP="009250E7">
      <w:pPr>
        <w:pStyle w:val="CommentText"/>
      </w:pPr>
      <w:r>
        <w:rPr>
          <w:rStyle w:val="CommentReference"/>
        </w:rPr>
        <w:annotationRef/>
      </w:r>
      <w:r>
        <w:t>UK 2024 Impact Report</w:t>
      </w:r>
    </w:p>
  </w:comment>
  <w:comment w:id="37" w:author="Person 1" w:date="2025-06-12T10:51:00Z" w:initials="">
    <w:p w14:paraId="43044990" w14:textId="77777777" w:rsidR="00000652" w:rsidRDefault="00000652" w:rsidP="00000652">
      <w:pPr>
        <w:pStyle w:val="CommentText"/>
      </w:pPr>
      <w:r>
        <w:rPr>
          <w:rStyle w:val="CommentReference"/>
        </w:rPr>
        <w:annotationRef/>
      </w:r>
      <w:r>
        <w:t>UK 2024 Impact Report</w:t>
      </w:r>
    </w:p>
  </w:comment>
  <w:comment w:id="38" w:author="Person 1" w:date="2025-06-12T11:00:00Z" w:initials="">
    <w:p w14:paraId="15A38028" w14:textId="77777777" w:rsidR="00DF1B7E" w:rsidRDefault="00DF1B7E" w:rsidP="00DF1B7E">
      <w:pPr>
        <w:pStyle w:val="CommentText"/>
      </w:pPr>
      <w:r>
        <w:rPr>
          <w:rStyle w:val="CommentReference"/>
        </w:rPr>
        <w:annotationRef/>
      </w:r>
      <w:r>
        <w:t>UK 2024 Impact Report</w:t>
      </w:r>
    </w:p>
  </w:comment>
  <w:comment w:id="39" w:author="Person 1" w:date="2025-06-12T11:17:00Z" w:initials="">
    <w:p w14:paraId="2FAA6295" w14:textId="77777777" w:rsidR="00561760" w:rsidRDefault="00561760" w:rsidP="00561760">
      <w:pPr>
        <w:pStyle w:val="CommentText"/>
      </w:pPr>
      <w:r>
        <w:rPr>
          <w:rStyle w:val="CommentReference"/>
        </w:rPr>
        <w:annotationRef/>
      </w:r>
      <w:r>
        <w:t>UK 2024 Impact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5C6297" w15:done="0"/>
  <w15:commentEx w15:paraId="2441E261" w15:done="0"/>
  <w15:commentEx w15:paraId="6E35D13E" w15:done="0"/>
  <w15:commentEx w15:paraId="1860EE53" w15:done="0"/>
  <w15:commentEx w15:paraId="1DB0C023" w15:done="0"/>
  <w15:commentEx w15:paraId="2C337E3E" w15:done="0"/>
  <w15:commentEx w15:paraId="7767540A" w15:done="0"/>
  <w15:commentEx w15:paraId="21E90306" w15:paraIdParent="7767540A" w15:done="0"/>
  <w15:commentEx w15:paraId="46A9D5A9" w15:done="0"/>
  <w15:commentEx w15:paraId="3B76F761" w15:done="0"/>
  <w15:commentEx w15:paraId="6687557D" w15:done="0"/>
  <w15:commentEx w15:paraId="506B105F" w15:done="0"/>
  <w15:commentEx w15:paraId="4A6F5C59" w15:done="0"/>
  <w15:commentEx w15:paraId="498F844D" w15:done="0"/>
  <w15:commentEx w15:paraId="74B2C41C" w15:paraIdParent="498F844D" w15:done="0"/>
  <w15:commentEx w15:paraId="6E315F27" w15:done="0"/>
  <w15:commentEx w15:paraId="25F742E5" w15:done="0"/>
  <w15:commentEx w15:paraId="196EDBE3" w15:done="0"/>
  <w15:commentEx w15:paraId="2B8FCC11" w15:paraIdParent="196EDBE3" w15:done="0"/>
  <w15:commentEx w15:paraId="06108BB7" w15:done="0"/>
  <w15:commentEx w15:paraId="1D544B7D" w15:done="0"/>
  <w15:commentEx w15:paraId="566EC865" w15:done="0"/>
  <w15:commentEx w15:paraId="1088698F" w15:done="0"/>
  <w15:commentEx w15:paraId="24951C58" w15:done="0"/>
  <w15:commentEx w15:paraId="44C1F4A4" w15:done="0"/>
  <w15:commentEx w15:paraId="694A036A" w15:paraIdParent="44C1F4A4" w15:done="0"/>
  <w15:commentEx w15:paraId="1867A02A" w15:done="0"/>
  <w15:commentEx w15:paraId="3000B415" w15:paraIdParent="1867A02A" w15:done="0"/>
  <w15:commentEx w15:paraId="776E0193" w15:done="0"/>
  <w15:commentEx w15:paraId="333A21EF" w15:done="0"/>
  <w15:commentEx w15:paraId="68D1BFE5" w15:paraIdParent="333A21EF" w15:done="0"/>
  <w15:commentEx w15:paraId="233EC8CF" w15:paraIdParent="333A21EF" w15:done="0"/>
  <w15:commentEx w15:paraId="642E18D7" w15:done="0"/>
  <w15:commentEx w15:paraId="344AE1B3" w15:done="0"/>
  <w15:commentEx w15:paraId="78CDE334" w15:done="0"/>
  <w15:commentEx w15:paraId="75CB0C37" w15:paraIdParent="78CDE334" w15:done="0"/>
  <w15:commentEx w15:paraId="0ECFD46B" w15:done="0"/>
  <w15:commentEx w15:paraId="43044990" w15:done="0"/>
  <w15:commentEx w15:paraId="15A38028" w15:done="0"/>
  <w15:commentEx w15:paraId="2FAA62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4A8C1A" w16cex:dateUtc="2025-06-09T15:26:00Z"/>
  <w16cex:commentExtensible w16cex:durableId="33394625" w16cex:dateUtc="2025-06-09T17:07:00Z"/>
  <w16cex:commentExtensible w16cex:durableId="74C28BF9" w16cex:dateUtc="2025-06-09T18:30:00Z"/>
  <w16cex:commentExtensible w16cex:durableId="112358B1" w16cex:dateUtc="2025-06-10T16:20:00Z"/>
  <w16cex:commentExtensible w16cex:durableId="6F7D9C7F" w16cex:dateUtc="2025-06-10T17:12:00Z"/>
  <w16cex:commentExtensible w16cex:durableId="0E0D8F12" w16cex:dateUtc="2025-06-12T16:36:00Z"/>
  <w16cex:commentExtensible w16cex:durableId="03EF5DB9" w16cex:dateUtc="2025-06-12T20:11:00Z"/>
  <w16cex:commentExtensible w16cex:durableId="4C970EDF" w16cex:dateUtc="2025-06-12T20:12:00Z"/>
  <w16cex:commentExtensible w16cex:durableId="12EC8ADE" w16cex:dateUtc="2025-06-06T23:41:00Z"/>
  <w16cex:commentExtensible w16cex:durableId="2007F48A" w16cex:dateUtc="2025-06-07T00:08:00Z"/>
  <w16cex:commentExtensible w16cex:durableId="1233E3AA" w16cex:dateUtc="2025-06-10T18:55:00Z"/>
  <w16cex:commentExtensible w16cex:durableId="2C3146D3" w16cex:dateUtc="2025-06-11T19:18:00Z"/>
  <w16cex:commentExtensible w16cex:durableId="307C3F60" w16cex:dateUtc="2025-06-11T20:47:00Z"/>
  <w16cex:commentExtensible w16cex:durableId="4F34271E" w16cex:dateUtc="2025-06-12T17:03:00Z"/>
  <w16cex:commentExtensible w16cex:durableId="20C5E1D1" w16cex:dateUtc="2025-06-12T17:04:00Z"/>
  <w16cex:commentExtensible w16cex:durableId="6A2CB14F" w16cex:dateUtc="2025-06-07T00:12:00Z"/>
  <w16cex:commentExtensible w16cex:durableId="4AFAA283" w16cex:dateUtc="2025-06-07T00:33:00Z"/>
  <w16cex:commentExtensible w16cex:durableId="3E34046B" w16cex:dateUtc="2025-06-09T18:48:00Z"/>
  <w16cex:commentExtensible w16cex:durableId="7CACE547" w16cex:dateUtc="2025-06-09T19:06:00Z"/>
  <w16cex:commentExtensible w16cex:durableId="4D1A9F24" w16cex:dateUtc="2025-06-12T19:14:00Z"/>
  <w16cex:commentExtensible w16cex:durableId="407CBE0C" w16cex:dateUtc="2025-06-12T19:18:00Z"/>
  <w16cex:commentExtensible w16cex:durableId="60A531EF" w16cex:dateUtc="2025-06-12T19:31:00Z"/>
  <w16cex:commentExtensible w16cex:durableId="603B769A" w16cex:dateUtc="2025-06-12T19:50:00Z"/>
  <w16cex:commentExtensible w16cex:durableId="79C3A4CB" w16cex:dateUtc="2025-06-06T23:57:00Z"/>
  <w16cex:commentExtensible w16cex:durableId="06F7161D" w16cex:dateUtc="2025-06-10T15:45:00Z"/>
  <w16cex:commentExtensible w16cex:durableId="264E6E87" w16cex:dateUtc="2025-06-10T15:58:00Z"/>
  <w16cex:commentExtensible w16cex:durableId="1D078B3D" w16cex:dateUtc="2025-06-10T16:45:00Z"/>
  <w16cex:commentExtensible w16cex:durableId="5388812E" w16cex:dateUtc="2025-06-10T16:52:00Z"/>
  <w16cex:commentExtensible w16cex:durableId="2E1F0103" w16cex:dateUtc="2025-06-10T18:33:00Z"/>
  <w16cex:commentExtensible w16cex:durableId="4764AA99" w16cex:dateUtc="2025-06-12T19:55:00Z"/>
  <w16cex:commentExtensible w16cex:durableId="6796CCEC" w16cex:dateUtc="2025-06-12T19:56:00Z"/>
  <w16cex:commentExtensible w16cex:durableId="2A0D7891" w16cex:dateUtc="2025-06-12T20:32:00Z"/>
  <w16cex:commentExtensible w16cex:durableId="21FE1507" w16cex:dateUtc="2025-06-09T15:34:00Z"/>
  <w16cex:commentExtensible w16cex:durableId="61EEE27D" w16cex:dateUtc="2025-06-09T16:05:00Z"/>
  <w16cex:commentExtensible w16cex:durableId="07C493F1" w16cex:dateUtc="2025-06-09T16:54:00Z"/>
  <w16cex:commentExtensible w16cex:durableId="4DF0A54F" w16cex:dateUtc="2025-06-09T16:55:00Z"/>
  <w16cex:commentExtensible w16cex:durableId="09229404" w16cex:dateUtc="2025-06-11T21:44:00Z"/>
  <w16cex:commentExtensible w16cex:durableId="28FD8D66" w16cex:dateUtc="2025-06-12T15:51:00Z"/>
  <w16cex:commentExtensible w16cex:durableId="7274C669" w16cex:dateUtc="2025-06-12T16:00:00Z"/>
  <w16cex:commentExtensible w16cex:durableId="54D1E1AC" w16cex:dateUtc="2025-06-12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5C6297" w16cid:durableId="684A8C1A"/>
  <w16cid:commentId w16cid:paraId="2441E261" w16cid:durableId="33394625"/>
  <w16cid:commentId w16cid:paraId="6E35D13E" w16cid:durableId="74C28BF9"/>
  <w16cid:commentId w16cid:paraId="1860EE53" w16cid:durableId="112358B1"/>
  <w16cid:commentId w16cid:paraId="1DB0C023" w16cid:durableId="6F7D9C7F"/>
  <w16cid:commentId w16cid:paraId="2C337E3E" w16cid:durableId="0E0D8F12"/>
  <w16cid:commentId w16cid:paraId="7767540A" w16cid:durableId="03EF5DB9"/>
  <w16cid:commentId w16cid:paraId="21E90306" w16cid:durableId="4C970EDF"/>
  <w16cid:commentId w16cid:paraId="46A9D5A9" w16cid:durableId="12EC8ADE"/>
  <w16cid:commentId w16cid:paraId="3B76F761" w16cid:durableId="2007F48A"/>
  <w16cid:commentId w16cid:paraId="6687557D" w16cid:durableId="1233E3AA"/>
  <w16cid:commentId w16cid:paraId="506B105F" w16cid:durableId="2C3146D3"/>
  <w16cid:commentId w16cid:paraId="4A6F5C59" w16cid:durableId="307C3F60"/>
  <w16cid:commentId w16cid:paraId="498F844D" w16cid:durableId="4F34271E"/>
  <w16cid:commentId w16cid:paraId="74B2C41C" w16cid:durableId="20C5E1D1"/>
  <w16cid:commentId w16cid:paraId="6E315F27" w16cid:durableId="6A2CB14F"/>
  <w16cid:commentId w16cid:paraId="25F742E5" w16cid:durableId="4AFAA283"/>
  <w16cid:commentId w16cid:paraId="196EDBE3" w16cid:durableId="3E34046B"/>
  <w16cid:commentId w16cid:paraId="2B8FCC11" w16cid:durableId="7CACE547"/>
  <w16cid:commentId w16cid:paraId="06108BB7" w16cid:durableId="4D1A9F24"/>
  <w16cid:commentId w16cid:paraId="1D544B7D" w16cid:durableId="407CBE0C"/>
  <w16cid:commentId w16cid:paraId="566EC865" w16cid:durableId="60A531EF"/>
  <w16cid:commentId w16cid:paraId="1088698F" w16cid:durableId="603B769A"/>
  <w16cid:commentId w16cid:paraId="24951C58" w16cid:durableId="79C3A4CB"/>
  <w16cid:commentId w16cid:paraId="44C1F4A4" w16cid:durableId="06F7161D"/>
  <w16cid:commentId w16cid:paraId="694A036A" w16cid:durableId="264E6E87"/>
  <w16cid:commentId w16cid:paraId="1867A02A" w16cid:durableId="1D078B3D"/>
  <w16cid:commentId w16cid:paraId="3000B415" w16cid:durableId="5388812E"/>
  <w16cid:commentId w16cid:paraId="776E0193" w16cid:durableId="2E1F0103"/>
  <w16cid:commentId w16cid:paraId="333A21EF" w16cid:durableId="4764AA99"/>
  <w16cid:commentId w16cid:paraId="68D1BFE5" w16cid:durableId="6796CCEC"/>
  <w16cid:commentId w16cid:paraId="233EC8CF" w16cid:durableId="2A0D7891"/>
  <w16cid:commentId w16cid:paraId="642E18D7" w16cid:durableId="21FE1507"/>
  <w16cid:commentId w16cid:paraId="344AE1B3" w16cid:durableId="61EEE27D"/>
  <w16cid:commentId w16cid:paraId="78CDE334" w16cid:durableId="07C493F1"/>
  <w16cid:commentId w16cid:paraId="75CB0C37" w16cid:durableId="4DF0A54F"/>
  <w16cid:commentId w16cid:paraId="0ECFD46B" w16cid:durableId="09229404"/>
  <w16cid:commentId w16cid:paraId="43044990" w16cid:durableId="28FD8D66"/>
  <w16cid:commentId w16cid:paraId="15A38028" w16cid:durableId="7274C669"/>
  <w16cid:commentId w16cid:paraId="2FAA6295" w16cid:durableId="54D1E1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CF46" w14:textId="77777777" w:rsidR="00BD6960" w:rsidRDefault="00BD6960" w:rsidP="000049D6">
      <w:pPr>
        <w:spacing w:after="0" w:line="240" w:lineRule="auto"/>
      </w:pPr>
      <w:r>
        <w:separator/>
      </w:r>
    </w:p>
  </w:endnote>
  <w:endnote w:type="continuationSeparator" w:id="0">
    <w:p w14:paraId="76E3C32A" w14:textId="77777777" w:rsidR="00BD6960" w:rsidRDefault="00BD6960" w:rsidP="00004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0" w:name="_iDocIDField23b5c021-40fc-440a-ab99-d4ba"/>
  <w:p w14:paraId="720B92F6" w14:textId="77777777" w:rsidR="00160F67" w:rsidRDefault="00160F67">
    <w:pPr>
      <w:pStyle w:val="DocID"/>
    </w:pPr>
    <w:r>
      <w:fldChar w:fldCharType="begin"/>
    </w:r>
    <w:r>
      <w:instrText xml:space="preserve">  DOCPROPERTY "CUS_DocIDChunk0" </w:instrText>
    </w:r>
    <w:r>
      <w:fldChar w:fldCharType="separate"/>
    </w:r>
    <w:r>
      <w:rPr>
        <w:noProof/>
      </w:rPr>
      <w:t>US_ACTIVE\130531451\V-1</w:t>
    </w:r>
    <w:r>
      <w:fldChar w:fldCharType="end"/>
    </w:r>
    <w:bookmarkEnd w:id="4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1" w:name="_iDocIDFieldc0b9ca73-6e64-40f9-af3c-1892"/>
  <w:p w14:paraId="5F9B21EC" w14:textId="77777777" w:rsidR="00160F67" w:rsidRDefault="00160F67">
    <w:pPr>
      <w:pStyle w:val="DocID"/>
    </w:pPr>
    <w:r>
      <w:fldChar w:fldCharType="begin"/>
    </w:r>
    <w:r>
      <w:instrText xml:space="preserve">  DOCPROPERTY "CUS_DocIDChunk0" </w:instrText>
    </w:r>
    <w:r>
      <w:fldChar w:fldCharType="separate"/>
    </w:r>
    <w:r>
      <w:rPr>
        <w:noProof/>
      </w:rPr>
      <w:t>US_ACTIVE\130531451\V-1</w:t>
    </w:r>
    <w:r>
      <w:fldChar w:fldCharType="end"/>
    </w:r>
    <w:bookmarkEnd w:id="4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2" w:name="_iDocIDFieldd0c0538c-be70-47ba-8332-064a"/>
  <w:p w14:paraId="7AB3E5A6" w14:textId="77777777" w:rsidR="00160F67" w:rsidRDefault="00160F67">
    <w:pPr>
      <w:pStyle w:val="DocID"/>
    </w:pPr>
    <w:r>
      <w:fldChar w:fldCharType="begin"/>
    </w:r>
    <w:r>
      <w:instrText xml:space="preserve">  DOCPROPERTY "CUS_DocIDChunk0" </w:instrText>
    </w:r>
    <w:r>
      <w:fldChar w:fldCharType="separate"/>
    </w:r>
    <w:r>
      <w:rPr>
        <w:noProof/>
      </w:rPr>
      <w:t>US_ACTIVE\130531451\V-1</w:t>
    </w:r>
    <w:r>
      <w:fldChar w:fldCharType="end"/>
    </w:r>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68D3" w14:textId="77777777" w:rsidR="00BD6960" w:rsidRDefault="00BD6960" w:rsidP="000049D6">
      <w:pPr>
        <w:spacing w:after="0" w:line="240" w:lineRule="auto"/>
      </w:pPr>
      <w:r>
        <w:separator/>
      </w:r>
    </w:p>
  </w:footnote>
  <w:footnote w:type="continuationSeparator" w:id="0">
    <w:p w14:paraId="09CE32AC" w14:textId="77777777" w:rsidR="00BD6960" w:rsidRDefault="00BD6960" w:rsidP="00004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0ECB" w14:textId="77777777" w:rsidR="000049D6" w:rsidRDefault="00004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91F2" w14:textId="77777777" w:rsidR="000049D6" w:rsidRDefault="00004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7567" w14:textId="77777777" w:rsidR="000049D6" w:rsidRDefault="00004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3061821">
    <w:abstractNumId w:val="8"/>
  </w:num>
  <w:num w:numId="2" w16cid:durableId="129203782">
    <w:abstractNumId w:val="6"/>
  </w:num>
  <w:num w:numId="3" w16cid:durableId="639925413">
    <w:abstractNumId w:val="5"/>
  </w:num>
  <w:num w:numId="4" w16cid:durableId="1224295022">
    <w:abstractNumId w:val="4"/>
  </w:num>
  <w:num w:numId="5" w16cid:durableId="142507695">
    <w:abstractNumId w:val="7"/>
  </w:num>
  <w:num w:numId="6" w16cid:durableId="306204436">
    <w:abstractNumId w:val="3"/>
  </w:num>
  <w:num w:numId="7" w16cid:durableId="958294351">
    <w:abstractNumId w:val="2"/>
  </w:num>
  <w:num w:numId="8" w16cid:durableId="1662000773">
    <w:abstractNumId w:val="1"/>
  </w:num>
  <w:num w:numId="9" w16cid:durableId="178330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652"/>
    <w:rsid w:val="000049D6"/>
    <w:rsid w:val="00010CE2"/>
    <w:rsid w:val="00034616"/>
    <w:rsid w:val="00057DAA"/>
    <w:rsid w:val="0006063C"/>
    <w:rsid w:val="000614B2"/>
    <w:rsid w:val="00087D64"/>
    <w:rsid w:val="000B5AA0"/>
    <w:rsid w:val="000D6B3D"/>
    <w:rsid w:val="00101936"/>
    <w:rsid w:val="00102C08"/>
    <w:rsid w:val="00135D5B"/>
    <w:rsid w:val="0015074B"/>
    <w:rsid w:val="00150CC8"/>
    <w:rsid w:val="00152704"/>
    <w:rsid w:val="00160F67"/>
    <w:rsid w:val="00171AA4"/>
    <w:rsid w:val="00171FF3"/>
    <w:rsid w:val="00177941"/>
    <w:rsid w:val="00180EC3"/>
    <w:rsid w:val="00186329"/>
    <w:rsid w:val="0018659B"/>
    <w:rsid w:val="00191A60"/>
    <w:rsid w:val="00196180"/>
    <w:rsid w:val="001A2A44"/>
    <w:rsid w:val="001D1219"/>
    <w:rsid w:val="001F18FA"/>
    <w:rsid w:val="001F4686"/>
    <w:rsid w:val="00205F50"/>
    <w:rsid w:val="0021066B"/>
    <w:rsid w:val="0024260A"/>
    <w:rsid w:val="00280C3C"/>
    <w:rsid w:val="0029639D"/>
    <w:rsid w:val="002A437E"/>
    <w:rsid w:val="002B1D47"/>
    <w:rsid w:val="002D16D0"/>
    <w:rsid w:val="002D227A"/>
    <w:rsid w:val="00326F90"/>
    <w:rsid w:val="003614FF"/>
    <w:rsid w:val="00366B05"/>
    <w:rsid w:val="00382A10"/>
    <w:rsid w:val="003864D4"/>
    <w:rsid w:val="0039285E"/>
    <w:rsid w:val="00392DA1"/>
    <w:rsid w:val="003C2164"/>
    <w:rsid w:val="003C48D7"/>
    <w:rsid w:val="003E118E"/>
    <w:rsid w:val="0040369E"/>
    <w:rsid w:val="004379D9"/>
    <w:rsid w:val="00443B66"/>
    <w:rsid w:val="00471670"/>
    <w:rsid w:val="004835B8"/>
    <w:rsid w:val="004E1581"/>
    <w:rsid w:val="004E6022"/>
    <w:rsid w:val="00526A87"/>
    <w:rsid w:val="0054281E"/>
    <w:rsid w:val="00547962"/>
    <w:rsid w:val="0055143E"/>
    <w:rsid w:val="00561760"/>
    <w:rsid w:val="00562F5E"/>
    <w:rsid w:val="005A1E18"/>
    <w:rsid w:val="005A2532"/>
    <w:rsid w:val="005C6830"/>
    <w:rsid w:val="005D188A"/>
    <w:rsid w:val="005E5B83"/>
    <w:rsid w:val="005F7AC3"/>
    <w:rsid w:val="0065112B"/>
    <w:rsid w:val="006629F8"/>
    <w:rsid w:val="006679EA"/>
    <w:rsid w:val="006D377F"/>
    <w:rsid w:val="00704A89"/>
    <w:rsid w:val="00705D3E"/>
    <w:rsid w:val="007077EF"/>
    <w:rsid w:val="007245A5"/>
    <w:rsid w:val="007530EB"/>
    <w:rsid w:val="00770DAF"/>
    <w:rsid w:val="00780679"/>
    <w:rsid w:val="00793EDB"/>
    <w:rsid w:val="007A1FC0"/>
    <w:rsid w:val="007B71B1"/>
    <w:rsid w:val="007D54DA"/>
    <w:rsid w:val="008146C1"/>
    <w:rsid w:val="00817832"/>
    <w:rsid w:val="00871D41"/>
    <w:rsid w:val="008A4098"/>
    <w:rsid w:val="008F22DD"/>
    <w:rsid w:val="009006F4"/>
    <w:rsid w:val="00907A68"/>
    <w:rsid w:val="00920671"/>
    <w:rsid w:val="00921D52"/>
    <w:rsid w:val="009250E7"/>
    <w:rsid w:val="00960E42"/>
    <w:rsid w:val="00964DA5"/>
    <w:rsid w:val="0099217B"/>
    <w:rsid w:val="009A4267"/>
    <w:rsid w:val="009A6312"/>
    <w:rsid w:val="009B7111"/>
    <w:rsid w:val="009F72C3"/>
    <w:rsid w:val="00A10349"/>
    <w:rsid w:val="00A25367"/>
    <w:rsid w:val="00A30101"/>
    <w:rsid w:val="00A329C3"/>
    <w:rsid w:val="00A37282"/>
    <w:rsid w:val="00A5148E"/>
    <w:rsid w:val="00A6099F"/>
    <w:rsid w:val="00A66713"/>
    <w:rsid w:val="00A673F6"/>
    <w:rsid w:val="00A90317"/>
    <w:rsid w:val="00AA1D8D"/>
    <w:rsid w:val="00AD5282"/>
    <w:rsid w:val="00AE2CCE"/>
    <w:rsid w:val="00B0468C"/>
    <w:rsid w:val="00B24E08"/>
    <w:rsid w:val="00B33922"/>
    <w:rsid w:val="00B47730"/>
    <w:rsid w:val="00B72B2E"/>
    <w:rsid w:val="00B829B9"/>
    <w:rsid w:val="00BA2B37"/>
    <w:rsid w:val="00BC5E9F"/>
    <w:rsid w:val="00BD292D"/>
    <w:rsid w:val="00BD6960"/>
    <w:rsid w:val="00BE04BF"/>
    <w:rsid w:val="00BE6ECD"/>
    <w:rsid w:val="00BF0974"/>
    <w:rsid w:val="00BF10B7"/>
    <w:rsid w:val="00C21163"/>
    <w:rsid w:val="00C27878"/>
    <w:rsid w:val="00C308EB"/>
    <w:rsid w:val="00C7288E"/>
    <w:rsid w:val="00C73FB1"/>
    <w:rsid w:val="00C82F56"/>
    <w:rsid w:val="00C86ECE"/>
    <w:rsid w:val="00C877CB"/>
    <w:rsid w:val="00CB0664"/>
    <w:rsid w:val="00CD7C2D"/>
    <w:rsid w:val="00D47979"/>
    <w:rsid w:val="00D92024"/>
    <w:rsid w:val="00DC212D"/>
    <w:rsid w:val="00DF1B7E"/>
    <w:rsid w:val="00DF3D69"/>
    <w:rsid w:val="00DF662A"/>
    <w:rsid w:val="00E025CB"/>
    <w:rsid w:val="00E057E0"/>
    <w:rsid w:val="00E71817"/>
    <w:rsid w:val="00EC6D60"/>
    <w:rsid w:val="00F26E9C"/>
    <w:rsid w:val="00F3717B"/>
    <w:rsid w:val="00F41B0F"/>
    <w:rsid w:val="00F50750"/>
    <w:rsid w:val="00F53511"/>
    <w:rsid w:val="00F547F4"/>
    <w:rsid w:val="00F63456"/>
    <w:rsid w:val="00F80EEE"/>
    <w:rsid w:val="00F9586B"/>
    <w:rsid w:val="00FC693F"/>
    <w:rsid w:val="00FF6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DC2E4C"/>
  <w14:defaultImageDpi w14:val="300"/>
  <w15:docId w15:val="{71030A92-23C9-4D37-BDFB-516C0425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ID">
    <w:name w:val="DocID"/>
    <w:basedOn w:val="Footer"/>
    <w:next w:val="Footer"/>
    <w:link w:val="DocIDChar"/>
    <w:rsid w:val="000049D6"/>
    <w:pPr>
      <w:tabs>
        <w:tab w:val="clear" w:pos="4680"/>
        <w:tab w:val="clear" w:pos="9360"/>
      </w:tabs>
    </w:pPr>
    <w:rPr>
      <w:rFonts w:ascii="Arial" w:eastAsia="Times New Roman" w:hAnsi="Arial" w:cs="Arial"/>
      <w:sz w:val="16"/>
      <w:szCs w:val="20"/>
      <w:lang w:val="es-MX" w:eastAsia="es-MX"/>
    </w:rPr>
  </w:style>
  <w:style w:type="character" w:customStyle="1" w:styleId="DocIDChar">
    <w:name w:val="DocID Char"/>
    <w:basedOn w:val="DefaultParagraphFont"/>
    <w:link w:val="DocID"/>
    <w:rsid w:val="000049D6"/>
    <w:rPr>
      <w:rFonts w:ascii="Arial" w:eastAsia="Times New Roman" w:hAnsi="Arial" w:cs="Arial"/>
      <w:sz w:val="16"/>
      <w:szCs w:val="20"/>
      <w:lang w:val="es-MX" w:eastAsia="es-MX"/>
    </w:rPr>
  </w:style>
  <w:style w:type="character" w:styleId="CommentReference">
    <w:name w:val="annotation reference"/>
    <w:basedOn w:val="DefaultParagraphFont"/>
    <w:uiPriority w:val="99"/>
    <w:semiHidden/>
    <w:unhideWhenUsed/>
    <w:rsid w:val="005D188A"/>
    <w:rPr>
      <w:sz w:val="16"/>
      <w:szCs w:val="16"/>
    </w:rPr>
  </w:style>
  <w:style w:type="paragraph" w:styleId="CommentText">
    <w:name w:val="annotation text"/>
    <w:basedOn w:val="Normal"/>
    <w:link w:val="CommentTextChar"/>
    <w:uiPriority w:val="99"/>
    <w:unhideWhenUsed/>
    <w:rsid w:val="005D188A"/>
    <w:pPr>
      <w:spacing w:line="240" w:lineRule="auto"/>
    </w:pPr>
    <w:rPr>
      <w:sz w:val="20"/>
      <w:szCs w:val="20"/>
    </w:rPr>
  </w:style>
  <w:style w:type="character" w:customStyle="1" w:styleId="CommentTextChar">
    <w:name w:val="Comment Text Char"/>
    <w:basedOn w:val="DefaultParagraphFont"/>
    <w:link w:val="CommentText"/>
    <w:uiPriority w:val="99"/>
    <w:rsid w:val="005D188A"/>
    <w:rPr>
      <w:sz w:val="20"/>
      <w:szCs w:val="20"/>
    </w:rPr>
  </w:style>
  <w:style w:type="paragraph" w:styleId="CommentSubject">
    <w:name w:val="annotation subject"/>
    <w:basedOn w:val="CommentText"/>
    <w:next w:val="CommentText"/>
    <w:link w:val="CommentSubjectChar"/>
    <w:uiPriority w:val="99"/>
    <w:semiHidden/>
    <w:unhideWhenUsed/>
    <w:rsid w:val="005D188A"/>
    <w:rPr>
      <w:b/>
      <w:bCs/>
    </w:rPr>
  </w:style>
  <w:style w:type="character" w:customStyle="1" w:styleId="CommentSubjectChar">
    <w:name w:val="Comment Subject Char"/>
    <w:basedOn w:val="CommentTextChar"/>
    <w:link w:val="CommentSubject"/>
    <w:uiPriority w:val="99"/>
    <w:semiHidden/>
    <w:rsid w:val="005D188A"/>
    <w:rPr>
      <w:b/>
      <w:bCs/>
      <w:sz w:val="20"/>
      <w:szCs w:val="20"/>
    </w:rPr>
  </w:style>
  <w:style w:type="character" w:styleId="Hyperlink">
    <w:name w:val="Hyperlink"/>
    <w:basedOn w:val="DefaultParagraphFont"/>
    <w:uiPriority w:val="99"/>
    <w:unhideWhenUsed/>
    <w:rsid w:val="00562F5E"/>
    <w:rPr>
      <w:color w:val="0000FF" w:themeColor="hyperlink"/>
      <w:u w:val="single"/>
    </w:rPr>
  </w:style>
  <w:style w:type="character" w:styleId="UnresolvedMention">
    <w:name w:val="Unresolved Mention"/>
    <w:basedOn w:val="DefaultParagraphFont"/>
    <w:uiPriority w:val="99"/>
    <w:semiHidden/>
    <w:unhideWhenUsed/>
    <w:rsid w:val="00562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8966">
      <w:bodyDiv w:val="1"/>
      <w:marLeft w:val="0"/>
      <w:marRight w:val="0"/>
      <w:marTop w:val="0"/>
      <w:marBottom w:val="0"/>
      <w:divBdr>
        <w:top w:val="none" w:sz="0" w:space="0" w:color="auto"/>
        <w:left w:val="none" w:sz="0" w:space="0" w:color="auto"/>
        <w:bottom w:val="none" w:sz="0" w:space="0" w:color="auto"/>
        <w:right w:val="none" w:sz="0" w:space="0" w:color="auto"/>
      </w:divBdr>
    </w:div>
    <w:div w:id="529801332">
      <w:bodyDiv w:val="1"/>
      <w:marLeft w:val="0"/>
      <w:marRight w:val="0"/>
      <w:marTop w:val="0"/>
      <w:marBottom w:val="0"/>
      <w:divBdr>
        <w:top w:val="none" w:sz="0" w:space="0" w:color="auto"/>
        <w:left w:val="none" w:sz="0" w:space="0" w:color="auto"/>
        <w:bottom w:val="none" w:sz="0" w:space="0" w:color="auto"/>
        <w:right w:val="none" w:sz="0" w:space="0" w:color="auto"/>
      </w:divBdr>
    </w:div>
    <w:div w:id="899824071">
      <w:bodyDiv w:val="1"/>
      <w:marLeft w:val="0"/>
      <w:marRight w:val="0"/>
      <w:marTop w:val="0"/>
      <w:marBottom w:val="0"/>
      <w:divBdr>
        <w:top w:val="none" w:sz="0" w:space="0" w:color="auto"/>
        <w:left w:val="none" w:sz="0" w:space="0" w:color="auto"/>
        <w:bottom w:val="none" w:sz="0" w:space="0" w:color="auto"/>
        <w:right w:val="none" w:sz="0" w:space="0" w:color="auto"/>
      </w:divBdr>
    </w:div>
    <w:div w:id="1341816802">
      <w:bodyDiv w:val="1"/>
      <w:marLeft w:val="0"/>
      <w:marRight w:val="0"/>
      <w:marTop w:val="0"/>
      <w:marBottom w:val="0"/>
      <w:divBdr>
        <w:top w:val="none" w:sz="0" w:space="0" w:color="auto"/>
        <w:left w:val="none" w:sz="0" w:space="0" w:color="auto"/>
        <w:bottom w:val="none" w:sz="0" w:space="0" w:color="auto"/>
        <w:right w:val="none" w:sz="0" w:space="0" w:color="auto"/>
      </w:divBdr>
    </w:div>
    <w:div w:id="1739398331">
      <w:bodyDiv w:val="1"/>
      <w:marLeft w:val="0"/>
      <w:marRight w:val="0"/>
      <w:marTop w:val="0"/>
      <w:marBottom w:val="0"/>
      <w:divBdr>
        <w:top w:val="none" w:sz="0" w:space="0" w:color="auto"/>
        <w:left w:val="none" w:sz="0" w:space="0" w:color="auto"/>
        <w:bottom w:val="none" w:sz="0" w:space="0" w:color="auto"/>
        <w:right w:val="none" w:sz="0" w:space="0" w:color="auto"/>
      </w:divBdr>
    </w:div>
    <w:div w:id="1871453420">
      <w:bodyDiv w:val="1"/>
      <w:marLeft w:val="0"/>
      <w:marRight w:val="0"/>
      <w:marTop w:val="0"/>
      <w:marBottom w:val="0"/>
      <w:divBdr>
        <w:top w:val="none" w:sz="0" w:space="0" w:color="auto"/>
        <w:left w:val="none" w:sz="0" w:space="0" w:color="auto"/>
        <w:bottom w:val="none" w:sz="0" w:space="0" w:color="auto"/>
        <w:right w:val="none" w:sz="0" w:space="0" w:color="auto"/>
      </w:divBdr>
    </w:div>
    <w:div w:id="19563993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dentons.com/en/about-dentons/news-events-and-awards/news/2024/november/dentons-partners-with-the-older-womens-network-to-reduce-womens-homelessness" TargetMode="External"/><Relationship Id="rId1" Type="http://schemas.openxmlformats.org/officeDocument/2006/relationships/hyperlink" Target="https://www.dentons.com/en/about-dentons/an-entrepreneurial-approach-to-pro-bono-and-social-responsibility/pro-bono-in-the-united-stat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14</Pages>
  <Words>4951</Words>
  <Characters>28221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Haro-Cortes, Melanie</cp:lastModifiedBy>
  <cp:revision>2</cp:revision>
  <dcterms:created xsi:type="dcterms:W3CDTF">1900-01-01T08:00:00Z</dcterms:created>
  <dcterms:modified xsi:type="dcterms:W3CDTF">2026-04-01T19:50:00Z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US_ACTIVE\130531451\V-1</vt:lpwstr>
  </property>
  <property fmtid="{D5CDD505-2E9C-101B-9397-08002B2CF9AE}" pid="3" name="CUS_DocIDChunk0">
    <vt:lpwstr>US_ACTIVE\130531451\V-1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